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A0" w:rsidRPr="005B5FFE" w:rsidRDefault="004C72A0" w:rsidP="004C72A0">
      <w:pPr>
        <w:pStyle w:val="Heading1"/>
        <w:numPr>
          <w:ilvl w:val="0"/>
          <w:numId w:val="0"/>
        </w:numPr>
        <w:spacing w:after="336"/>
        <w:jc w:val="center"/>
        <w:rPr>
          <w:rFonts w:cs="Times New Roman"/>
          <w:sz w:val="24"/>
          <w:szCs w:val="24"/>
        </w:rPr>
      </w:pPr>
      <w:bookmarkStart w:id="0" w:name="_Toc2767045"/>
      <w:r w:rsidRPr="005B5FFE">
        <w:rPr>
          <w:rFonts w:cs="Times New Roman"/>
          <w:sz w:val="24"/>
          <w:szCs w:val="24"/>
        </w:rPr>
        <w:t>MARRËVESHJA e Ofruesit të Shërbimit të Balancimit</w:t>
      </w:r>
      <w:bookmarkEnd w:id="0"/>
    </w:p>
    <w:p w:rsidR="004C72A0" w:rsidRPr="005B5FFE" w:rsidRDefault="004C72A0" w:rsidP="004C72A0">
      <w:pPr>
        <w:spacing w:after="941" w:line="259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Nr. ................/...........................</w:t>
      </w:r>
    </w:p>
    <w:p w:rsidR="004C72A0" w:rsidRPr="005B5FFE" w:rsidRDefault="004C72A0" w:rsidP="004C72A0">
      <w:pPr>
        <w:spacing w:after="231"/>
        <w:ind w:left="-15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Sot më,............2019, në Tiranë, nënshkruar midis Palëve:</w:t>
      </w:r>
    </w:p>
    <w:p w:rsidR="004C72A0" w:rsidRPr="005B5FFE" w:rsidRDefault="004C72A0" w:rsidP="004C72A0">
      <w:pPr>
        <w:spacing w:after="231"/>
        <w:ind w:left="-15"/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4C72A0">
      <w:pPr>
        <w:pStyle w:val="ListParagraph"/>
        <w:numPr>
          <w:ilvl w:val="0"/>
          <w:numId w:val="5"/>
        </w:numPr>
        <w:spacing w:before="0" w:after="232" w:line="250" w:lineRule="auto"/>
        <w:rPr>
          <w:rFonts w:cs="Times New Roman"/>
          <w:szCs w:val="24"/>
        </w:rPr>
      </w:pPr>
      <w:r w:rsidRPr="005B5FFE">
        <w:rPr>
          <w:rFonts w:eastAsia="Times New Roman" w:cs="Times New Roman"/>
          <w:szCs w:val="24"/>
        </w:rPr>
        <w:t xml:space="preserve">Operatori i Sistemit të Transmetimit OST sh.a., një </w:t>
      </w:r>
      <w:r w:rsidR="006534A1" w:rsidRPr="005B5FFE">
        <w:rPr>
          <w:rFonts w:eastAsia="Times New Roman" w:cs="Times New Roman"/>
          <w:szCs w:val="24"/>
        </w:rPr>
        <w:t>shoqëri</w:t>
      </w:r>
      <w:r w:rsidRPr="005B5FFE">
        <w:rPr>
          <w:rFonts w:eastAsia="Times New Roman" w:cs="Times New Roman"/>
          <w:szCs w:val="24"/>
        </w:rPr>
        <w:t xml:space="preserve"> e regjistruar në [</w:t>
      </w:r>
      <w:r w:rsidRPr="005B5FFE">
        <w:rPr>
          <w:rFonts w:eastAsia="Times New Roman" w:cs="Times New Roman"/>
          <w:b/>
          <w:szCs w:val="24"/>
        </w:rPr>
        <w:t>Adresa</w:t>
      </w:r>
      <w:r w:rsidRPr="005B5FFE">
        <w:rPr>
          <w:rFonts w:eastAsia="Times New Roman" w:cs="Times New Roman"/>
          <w:szCs w:val="24"/>
        </w:rPr>
        <w:t>], me NIPT [</w:t>
      </w:r>
      <w:r w:rsidRPr="005B5FFE">
        <w:rPr>
          <w:rFonts w:eastAsia="Times New Roman" w:cs="Times New Roman"/>
          <w:b/>
          <w:szCs w:val="24"/>
        </w:rPr>
        <w:t>numrin e regjistrimit</w:t>
      </w:r>
      <w:r w:rsidRPr="005B5FFE">
        <w:rPr>
          <w:rFonts w:eastAsia="Times New Roman" w:cs="Times New Roman"/>
          <w:szCs w:val="24"/>
        </w:rPr>
        <w:t xml:space="preserve">] dhe i licencuar për operimin e sistemit të transmetimit  me </w:t>
      </w:r>
      <w:r w:rsidR="005B5FFE" w:rsidRPr="005B5FFE">
        <w:rPr>
          <w:rFonts w:eastAsia="Times New Roman" w:cs="Times New Roman"/>
          <w:szCs w:val="24"/>
        </w:rPr>
        <w:t>licencën</w:t>
      </w:r>
      <w:r w:rsidRPr="005B5FFE">
        <w:rPr>
          <w:rFonts w:eastAsia="Times New Roman" w:cs="Times New Roman"/>
          <w:szCs w:val="24"/>
        </w:rPr>
        <w:t xml:space="preserve"> nr.[</w:t>
      </w:r>
      <w:r w:rsidRPr="005B5FFE">
        <w:rPr>
          <w:rFonts w:eastAsia="Times New Roman" w:cs="Times New Roman"/>
          <w:b/>
          <w:szCs w:val="24"/>
        </w:rPr>
        <w:t>numri i licencës</w:t>
      </w:r>
      <w:r w:rsidRPr="005B5FFE">
        <w:rPr>
          <w:rFonts w:eastAsia="Times New Roman" w:cs="Times New Roman"/>
          <w:szCs w:val="24"/>
        </w:rPr>
        <w:t xml:space="preserve">] përfaqësuar nga ___________________ - Administratori, në vijim i referuar si </w:t>
      </w:r>
      <w:r w:rsidRPr="005B5FFE">
        <w:rPr>
          <w:rFonts w:eastAsia="Times New Roman" w:cs="Times New Roman"/>
          <w:b/>
          <w:szCs w:val="24"/>
        </w:rPr>
        <w:t>OST</w:t>
      </w:r>
      <w:r w:rsidRPr="005B5FFE">
        <w:rPr>
          <w:rFonts w:eastAsia="Times New Roman" w:cs="Times New Roman"/>
          <w:szCs w:val="24"/>
        </w:rPr>
        <w:t>;</w:t>
      </w:r>
    </w:p>
    <w:p w:rsidR="004C72A0" w:rsidRPr="005B5FFE" w:rsidRDefault="004C72A0" w:rsidP="004C72A0">
      <w:pPr>
        <w:spacing w:after="231"/>
        <w:ind w:left="-15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Dhe</w:t>
      </w:r>
    </w:p>
    <w:p w:rsidR="004C72A0" w:rsidRPr="005B5FFE" w:rsidRDefault="004C72A0" w:rsidP="004C72A0">
      <w:pPr>
        <w:pStyle w:val="ListParagraph"/>
        <w:numPr>
          <w:ilvl w:val="0"/>
          <w:numId w:val="5"/>
        </w:numPr>
        <w:spacing w:before="0" w:after="734" w:line="250" w:lineRule="auto"/>
        <w:rPr>
          <w:rFonts w:cs="Times New Roman"/>
          <w:szCs w:val="24"/>
        </w:rPr>
      </w:pPr>
      <w:r w:rsidRPr="005B5FFE">
        <w:rPr>
          <w:rFonts w:eastAsia="Times New Roman" w:cs="Times New Roman"/>
          <w:szCs w:val="24"/>
        </w:rPr>
        <w:t>[</w:t>
      </w:r>
      <w:r w:rsidRPr="005B5FFE">
        <w:rPr>
          <w:rFonts w:eastAsia="Times New Roman" w:cs="Times New Roman"/>
          <w:b/>
          <w:szCs w:val="24"/>
        </w:rPr>
        <w:t xml:space="preserve">emri i kompanisë </w:t>
      </w:r>
      <w:r w:rsidR="00501E0D">
        <w:rPr>
          <w:rFonts w:eastAsia="Times New Roman" w:cs="Times New Roman"/>
          <w:b/>
          <w:szCs w:val="24"/>
        </w:rPr>
        <w:t>OS</w:t>
      </w:r>
      <w:r w:rsidR="00BC1A24">
        <w:rPr>
          <w:rFonts w:eastAsia="Times New Roman" w:cs="Times New Roman"/>
          <w:b/>
          <w:szCs w:val="24"/>
        </w:rPr>
        <w:t>h</w:t>
      </w:r>
      <w:r w:rsidR="00501E0D">
        <w:rPr>
          <w:rFonts w:eastAsia="Times New Roman" w:cs="Times New Roman"/>
          <w:b/>
          <w:szCs w:val="24"/>
        </w:rPr>
        <w:t>B</w:t>
      </w:r>
      <w:r w:rsidRPr="005B5FFE">
        <w:rPr>
          <w:rFonts w:eastAsia="Times New Roman" w:cs="Times New Roman"/>
          <w:szCs w:val="24"/>
        </w:rPr>
        <w:t xml:space="preserve">], një </w:t>
      </w:r>
      <w:r w:rsidR="006534A1" w:rsidRPr="005B5FFE">
        <w:rPr>
          <w:rFonts w:eastAsia="Times New Roman" w:cs="Times New Roman"/>
          <w:szCs w:val="24"/>
        </w:rPr>
        <w:t>shoqëri</w:t>
      </w:r>
      <w:r w:rsidRPr="005B5FFE">
        <w:rPr>
          <w:rFonts w:eastAsia="Times New Roman" w:cs="Times New Roman"/>
          <w:szCs w:val="24"/>
        </w:rPr>
        <w:t xml:space="preserve"> e organizuar dhe ekzistuese sipas ligjeve të [</w:t>
      </w:r>
      <w:r w:rsidRPr="005B5FFE">
        <w:rPr>
          <w:rFonts w:eastAsia="Times New Roman" w:cs="Times New Roman"/>
          <w:b/>
          <w:szCs w:val="24"/>
        </w:rPr>
        <w:t>Shteti</w:t>
      </w:r>
      <w:r w:rsidRPr="005B5FFE">
        <w:rPr>
          <w:rFonts w:eastAsia="Times New Roman" w:cs="Times New Roman"/>
          <w:szCs w:val="24"/>
        </w:rPr>
        <w:t>], me zyrën e saj të regjistruar në [</w:t>
      </w:r>
      <w:r w:rsidRPr="005B5FFE">
        <w:rPr>
          <w:rFonts w:eastAsia="Times New Roman" w:cs="Times New Roman"/>
          <w:b/>
          <w:szCs w:val="24"/>
        </w:rPr>
        <w:t>Adresa, Qyteti, Shteti</w:t>
      </w:r>
      <w:r w:rsidRPr="005B5FFE">
        <w:rPr>
          <w:rFonts w:eastAsia="Times New Roman" w:cs="Times New Roman"/>
          <w:szCs w:val="24"/>
        </w:rPr>
        <w:t>] dhe e regjistruar në regjistrin tregtar [</w:t>
      </w:r>
      <w:r w:rsidRPr="005B5FFE">
        <w:rPr>
          <w:rFonts w:eastAsia="Times New Roman" w:cs="Times New Roman"/>
          <w:b/>
          <w:szCs w:val="24"/>
        </w:rPr>
        <w:t>qytetin</w:t>
      </w:r>
      <w:r w:rsidRPr="005B5FFE">
        <w:rPr>
          <w:rFonts w:eastAsia="Times New Roman" w:cs="Times New Roman"/>
          <w:szCs w:val="24"/>
        </w:rPr>
        <w:t>] me numrin [</w:t>
      </w:r>
      <w:r w:rsidRPr="005B5FFE">
        <w:rPr>
          <w:rFonts w:eastAsia="Times New Roman" w:cs="Times New Roman"/>
          <w:b/>
          <w:szCs w:val="24"/>
        </w:rPr>
        <w:t xml:space="preserve"> numrin e regjistrimit</w:t>
      </w:r>
      <w:r w:rsidRPr="005B5FFE">
        <w:rPr>
          <w:rFonts w:eastAsia="Times New Roman" w:cs="Times New Roman"/>
          <w:szCs w:val="24"/>
        </w:rPr>
        <w:t>] dhe numër të TVSH-së [</w:t>
      </w:r>
      <w:r w:rsidRPr="005B5FFE">
        <w:rPr>
          <w:rFonts w:eastAsia="Times New Roman" w:cs="Times New Roman"/>
          <w:b/>
          <w:szCs w:val="24"/>
        </w:rPr>
        <w:t>numri i ID të TVSH-së</w:t>
      </w:r>
      <w:r w:rsidRPr="005B5FFE">
        <w:rPr>
          <w:rFonts w:eastAsia="Times New Roman" w:cs="Times New Roman"/>
          <w:szCs w:val="24"/>
        </w:rPr>
        <w:t xml:space="preserve">] përfaqësuar nga .....................................................Administrator, referuar në vijim si </w:t>
      </w:r>
      <w:r w:rsidRPr="005B5FFE">
        <w:rPr>
          <w:rFonts w:eastAsia="Times New Roman" w:cs="Times New Roman"/>
          <w:b/>
          <w:szCs w:val="24"/>
        </w:rPr>
        <w:t>Ofrues i Shërbimit të Balancimit (</w:t>
      </w:r>
      <w:r w:rsidR="00BC1A24">
        <w:rPr>
          <w:rFonts w:eastAsia="Times New Roman" w:cs="Times New Roman"/>
          <w:b/>
          <w:szCs w:val="24"/>
        </w:rPr>
        <w:t>OSHB</w:t>
      </w:r>
      <w:r w:rsidRPr="005B5FFE">
        <w:rPr>
          <w:rFonts w:eastAsia="Times New Roman" w:cs="Times New Roman"/>
          <w:b/>
          <w:szCs w:val="24"/>
        </w:rPr>
        <w:t>)</w:t>
      </w:r>
      <w:r w:rsidRPr="005B5FFE">
        <w:rPr>
          <w:rFonts w:eastAsia="Times New Roman" w:cs="Times New Roman"/>
          <w:szCs w:val="24"/>
        </w:rPr>
        <w:t>.</w:t>
      </w:r>
    </w:p>
    <w:p w:rsidR="004C72A0" w:rsidRPr="005B5FFE" w:rsidRDefault="004C72A0" w:rsidP="004C72A0">
      <w:pPr>
        <w:pStyle w:val="Heading1"/>
        <w:keepNext/>
        <w:keepLines/>
        <w:numPr>
          <w:ilvl w:val="4"/>
          <w:numId w:val="2"/>
        </w:numPr>
        <w:spacing w:before="0" w:after="251" w:line="265" w:lineRule="auto"/>
        <w:ind w:left="2694" w:right="191"/>
        <w:contextualSpacing w:val="0"/>
        <w:rPr>
          <w:rFonts w:cs="Times New Roman"/>
          <w:sz w:val="24"/>
          <w:szCs w:val="24"/>
        </w:rPr>
      </w:pPr>
      <w:bookmarkStart w:id="1" w:name="_Toc2767046"/>
      <w:r w:rsidRPr="005B5FFE">
        <w:rPr>
          <w:rFonts w:cs="Times New Roman"/>
          <w:sz w:val="24"/>
          <w:szCs w:val="24"/>
        </w:rPr>
        <w:t>KUSHTET E PËRGJITHSHME</w:t>
      </w:r>
      <w:bookmarkEnd w:id="1"/>
    </w:p>
    <w:p w:rsidR="00501E0D" w:rsidRDefault="004C72A0" w:rsidP="00501E0D">
      <w:pPr>
        <w:numPr>
          <w:ilvl w:val="0"/>
          <w:numId w:val="6"/>
        </w:numPr>
        <w:spacing w:after="27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OST si mbajtës i licencës për operimin e sistemit të transmetimit të energjisë elektrike, në cilësinë e Operatorit të Sistemit të Transmetimit të Energjisë, organizon tregun balancues për energjinë elektrike.</w:t>
      </w:r>
    </w:p>
    <w:p w:rsidR="004C72A0" w:rsidRPr="00501E0D" w:rsidRDefault="004C72A0" w:rsidP="00501E0D">
      <w:pPr>
        <w:numPr>
          <w:ilvl w:val="0"/>
          <w:numId w:val="6"/>
        </w:numPr>
        <w:spacing w:after="27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>Me nënshkrimin e kësaj Marrëveshjeje të Ofruesit të Shërbimit të Ba</w:t>
      </w:r>
      <w:r w:rsidR="006534A1"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>lancimit (në vijim referuar si "</w:t>
      </w:r>
      <w:r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>Marrëveshja”</w:t>
      </w:r>
      <w:r w:rsidR="006534A1"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BC1A24"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Pr="00501E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siguron të drejtën për të kryer transaksione në tregun e balancimit të energjisë elektrike, të cilat do të jenë objekt i faturimit dhe pagesave.</w:t>
      </w:r>
    </w:p>
    <w:p w:rsidR="004C72A0" w:rsidRPr="005B5FFE" w:rsidRDefault="004C72A0" w:rsidP="004C72A0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drejtat dhe detyrimet e </w:t>
      </w:r>
      <w:r w:rsidR="00BC1A24"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, duke iu referuar pjesëmarrjes së tij në Tregun Shqiptar të Balancimit, janë parashikuar në Rregullat e TS</w:t>
      </w:r>
      <w:r w:rsidR="006534A1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 dhe Anekset e </w:t>
      </w:r>
      <w:r w:rsidR="005B5FFE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këtyre</w:t>
      </w: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rregullave, si dhe në legjislacionin përkatës në fuqi dhe vendimet e ERE-s.</w:t>
      </w:r>
    </w:p>
    <w:p w:rsidR="004C72A0" w:rsidRPr="005B5FFE" w:rsidRDefault="00BC1A24" w:rsidP="004C72A0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vijim pranon të jetë i lidhur nga kjo Marrëveshje që konsiderohet si pjesë e Rregullave të Tregut Shqiptar të Balancimit.</w:t>
      </w:r>
    </w:p>
    <w:p w:rsidR="004C72A0" w:rsidRPr="005B5FFE" w:rsidRDefault="004C72A0" w:rsidP="004C72A0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Termat dhe afatet e përcaktuara në Rregullat e Tregut Shqiptar të Balancimit janë përfshirë edhe në këtë marrëveshje. Në rast të konfliktit midis Rregullave të Tregut Shqiptar të Balancimit dhe kësaj Marrëveshjeje, do të </w:t>
      </w:r>
      <w:r w:rsid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mbizotërojnë</w:t>
      </w: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Rregullat e Tregut Shqiptar të Balancimit.</w:t>
      </w:r>
    </w:p>
    <w:p w:rsidR="004C72A0" w:rsidRPr="005B5FFE" w:rsidRDefault="00BC1A24" w:rsidP="004C72A0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pranon që Rregullat e Tregut Shqiptar të Balancimit miratohen nga ERE dhe se</w:t>
      </w:r>
      <w:r w:rsid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72A0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ERE do të ketë të drejtë të imponojë dispozitat e këtyre rregullave mbi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siç parashikohet në to.</w:t>
      </w:r>
    </w:p>
    <w:p w:rsidR="004C72A0" w:rsidRPr="005B5FFE" w:rsidRDefault="004C72A0" w:rsidP="004C72A0">
      <w:pPr>
        <w:pStyle w:val="Style1"/>
        <w:jc w:val="center"/>
        <w:rPr>
          <w:rFonts w:cs="Times New Roman"/>
          <w:sz w:val="24"/>
          <w:szCs w:val="24"/>
        </w:rPr>
      </w:pPr>
      <w:bookmarkStart w:id="2" w:name="_Toc2767047"/>
      <w:r w:rsidRPr="005B5FFE">
        <w:rPr>
          <w:rStyle w:val="tlid-translation"/>
          <w:rFonts w:cs="Times New Roman"/>
          <w:sz w:val="24"/>
          <w:szCs w:val="24"/>
        </w:rPr>
        <w:t>TERMAT DHE KUSHTET E MARRËVESHJES</w:t>
      </w:r>
      <w:bookmarkEnd w:id="2"/>
    </w:p>
    <w:p w:rsidR="004C72A0" w:rsidRPr="005B5FFE" w:rsidRDefault="004C72A0" w:rsidP="004C72A0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6534A1" w:rsidRPr="005B5FFE" w:rsidRDefault="00BC1A24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është përzgjedhur për të kryer aktivitete në përputhje me këtë Marrëveshje, bazuar në pro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c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edurën e hapur dhe transparente të parakualifikimit të kryer nga OST, në përputhje me Nenin 4.1.2 të Rregullave të Tregut Shqiptar të Balancimit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Kërkesat e përcaktuara nga OST si kushte për parakualifikimin e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-së, sipas Rregullave të TShB si: aftësitë ligjore, tekniko-informative, komunikuese, organizative, aftësia financiare e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, si dhe portofoli i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-së, duhet të përmbushen nga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gjatë gjithë kohëzgjatjes të kësaj Marrëveshjeje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.</w:t>
      </w:r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OST do të verifikojë portofolin e burimeve gjeneruese të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-së nëse teorikisht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mundet të sigurojë kapacitetin balancues për një produkt të caktuar gjatë gjithë periudhës së  kontraktuar.</w:t>
      </w:r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Kualifikimi i njësive të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-së mund të ri-vlerësohet nga OST në rastin e:  ndryshimeve të kërkesave teknike ose të disponueshmërisë ose nëse ka ndryshuar  pajisjet, ose në rast të modernizimit të pajisjeve që lidhen me aktivizimin e Rezervës së Energjisë Balancuese.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Në përputhje me dispozitat e Rregullave të TShB, OST rezervon të drejtën për të përshtatur prodhimin e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-së sipas nevojës.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-të  kanë të drejtë të marrin kompensim për këtë shërbim të aktivizuar në mënyrë të </w:t>
      </w:r>
      <w:r w:rsidR="00501E0D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veçantë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. Për këtë qëllim, OST lëshon një njoftim pagese për çdo PShD duke specifikuar sasinë e matur që i korrespondon shërbimit dhe çmimin përkatës të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shlyerjes së disbalancës.</w:t>
      </w:r>
    </w:p>
    <w:p w:rsidR="006534A1" w:rsidRPr="005B5FFE" w:rsidRDefault="006534A1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4C72A0">
      <w:pPr>
        <w:pStyle w:val="Heading1"/>
        <w:keepNext/>
        <w:keepLines/>
        <w:numPr>
          <w:ilvl w:val="4"/>
          <w:numId w:val="2"/>
        </w:numPr>
        <w:spacing w:before="0" w:after="251" w:line="265" w:lineRule="auto"/>
        <w:ind w:left="2694" w:right="27"/>
        <w:contextualSpacing w:val="0"/>
        <w:rPr>
          <w:rFonts w:cs="Times New Roman"/>
          <w:sz w:val="24"/>
          <w:szCs w:val="24"/>
        </w:rPr>
      </w:pPr>
      <w:bookmarkStart w:id="3" w:name="_Toc2767048"/>
      <w:r w:rsidRPr="005B5FFE">
        <w:rPr>
          <w:rStyle w:val="tlid-translation"/>
          <w:rFonts w:cs="Times New Roman"/>
          <w:sz w:val="24"/>
          <w:szCs w:val="24"/>
        </w:rPr>
        <w:t>MBIKËQYRJA NGA OST, PEZULLIMI</w:t>
      </w:r>
      <w:bookmarkEnd w:id="3"/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Nëse gjatë zbatimit të Marrëveshjes,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nuk i përmbush më kushtet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e parakualifikimit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, OST do të njoftojë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pë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rmes një shkrese zyrtare për pa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pajtueshmërinë.</w:t>
      </w:r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Nëse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nuk i përgjigjet shkresës zyrtare brenda pesëmbëdhjetë (15) ditëve pas marrjes së njoftimit ose</w:t>
      </w:r>
      <w:r w:rsidR="00501E0D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nuk merr masat përkatëse, OST mund ta pezullojë Marrëveshjen për një periudhë prej tridhjetë (30) ditësh.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Pas periudhës së pezullimit, OST vlerëson përsëri </w:t>
      </w:r>
      <w:r w:rsidR="005B5FFE" w:rsidRPr="005B5FFE">
        <w:rPr>
          <w:rFonts w:ascii="Times New Roman" w:hAnsi="Times New Roman" w:cs="Times New Roman"/>
          <w:sz w:val="24"/>
          <w:szCs w:val="24"/>
          <w:lang w:val="sq-AL"/>
        </w:rPr>
        <w:t>pajtueshmërinë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BC1A24">
        <w:rPr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me kushtet. Nëse është rivendosur </w:t>
      </w:r>
      <w:r w:rsidR="005B5FFE" w:rsidRPr="005B5FFE">
        <w:rPr>
          <w:rFonts w:ascii="Times New Roman" w:hAnsi="Times New Roman" w:cs="Times New Roman"/>
          <w:sz w:val="24"/>
          <w:szCs w:val="24"/>
          <w:lang w:val="sq-AL"/>
        </w:rPr>
        <w:t>pajtueshmëria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, pezullimi anulohet. Nëse jo, Marrëveshja me </w:t>
      </w:r>
      <w:r w:rsidR="00BC1A24">
        <w:rPr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përfundon. Kjo nënkupton që pas përfundimit të Marrëveshjes, nëse PPB dëshiron të ofrojë shërbimin, duhet të ri-aplikojë nëpërmjet pro</w:t>
      </w:r>
      <w:r w:rsidR="006534A1" w:rsidRPr="005B5FFE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>edurës së parakualifikimit dhe të nënshkruajë një Marrëveshje të re me OST, në pajtim me kushtet përkatëse sipas Rregullave të TShB.</w:t>
      </w:r>
    </w:p>
    <w:p w:rsidR="004C72A0" w:rsidRPr="005B5FFE" w:rsidRDefault="006534A1" w:rsidP="006534A1">
      <w:pPr>
        <w:pStyle w:val="Heading1"/>
        <w:keepNext/>
        <w:keepLines/>
        <w:numPr>
          <w:ilvl w:val="4"/>
          <w:numId w:val="2"/>
        </w:numPr>
        <w:spacing w:after="222" w:line="265" w:lineRule="auto"/>
        <w:ind w:left="567" w:right="409"/>
        <w:contextualSpacing w:val="0"/>
        <w:jc w:val="center"/>
        <w:rPr>
          <w:rFonts w:cs="Times New Roman"/>
          <w:sz w:val="24"/>
          <w:szCs w:val="24"/>
        </w:rPr>
      </w:pPr>
      <w:r w:rsidRPr="005B5FFE">
        <w:rPr>
          <w:rFonts w:cs="Times New Roman"/>
          <w:sz w:val="24"/>
          <w:szCs w:val="24"/>
        </w:rPr>
        <w:t>DEKLARIME</w:t>
      </w:r>
    </w:p>
    <w:p w:rsidR="004C72A0" w:rsidRPr="005B5FFE" w:rsidRDefault="006534A1" w:rsidP="004C72A0">
      <w:pPr>
        <w:spacing w:after="250" w:line="259" w:lineRule="auto"/>
        <w:ind w:left="-5" w:hanging="10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b/>
          <w:sz w:val="24"/>
          <w:szCs w:val="24"/>
          <w:lang w:val="sq-AL"/>
        </w:rPr>
        <w:t>Deklarime</w:t>
      </w:r>
      <w:r w:rsidR="004C72A0" w:rsidRPr="005B5FFE">
        <w:rPr>
          <w:rStyle w:val="tlid-translation"/>
          <w:rFonts w:ascii="Times New Roman" w:hAnsi="Times New Roman" w:cs="Times New Roman"/>
          <w:b/>
          <w:sz w:val="24"/>
          <w:szCs w:val="24"/>
          <w:lang w:val="sq-AL"/>
        </w:rPr>
        <w:t xml:space="preserve"> nga </w:t>
      </w:r>
      <w:r w:rsidR="00BC1A24">
        <w:rPr>
          <w:rStyle w:val="tlid-translation"/>
          <w:rFonts w:ascii="Times New Roman" w:hAnsi="Times New Roman" w:cs="Times New Roman"/>
          <w:b/>
          <w:sz w:val="24"/>
          <w:szCs w:val="24"/>
          <w:lang w:val="sq-AL"/>
        </w:rPr>
        <w:t>OSHB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Me nënshkrimin e kësaj Marrëveshje, </w:t>
      </w:r>
      <w:r w:rsidR="00BC1A24">
        <w:rPr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i garanton OST që:</w:t>
      </w:r>
    </w:p>
    <w:p w:rsidR="004C72A0" w:rsidRPr="005B5FFE" w:rsidRDefault="004C72A0" w:rsidP="004C72A0">
      <w:pPr>
        <w:numPr>
          <w:ilvl w:val="1"/>
          <w:numId w:val="4"/>
        </w:numPr>
        <w:spacing w:after="139" w:line="25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Janë ndërmarrë</w:t>
      </w:r>
      <w:r w:rsid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të gjitha veprimet e nevojshme për autorizimin e duhur, siç kërkohet nga Rregullat e Tregut Shqiptar të Balancimit, 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dhe</w:t>
      </w:r>
    </w:p>
    <w:p w:rsidR="004C72A0" w:rsidRPr="005B5FFE" w:rsidRDefault="004C72A0" w:rsidP="004C72A0">
      <w:pPr>
        <w:numPr>
          <w:ilvl w:val="1"/>
          <w:numId w:val="4"/>
        </w:numPr>
        <w:spacing w:after="260" w:line="25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N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ënshkrimi i kësaj marrëveshje, të plotësuar nga Rregullat e Tregut Shqiptar të Balancimit n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uk </w:t>
      </w:r>
      <w:r w:rsidR="005B5FFE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cenon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: ndonjë ligj, rregull, rregullore, marrëveshje ose dokument të detyrueshëm ose të zbatueshëm për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4C72A0" w:rsidRPr="005B5FFE" w:rsidRDefault="00BC1A24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pranon se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ka detyrimin ta njoftojë menjëherë OST në rast të çdo pa-pajtueshmërisë ose shkeljes së detyrimeve kontraktuale në këtë </w:t>
      </w:r>
      <w:r w:rsidR="005B5FFE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marrëveshje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.</w:t>
      </w:r>
    </w:p>
    <w:p w:rsidR="004C72A0" w:rsidRPr="005B5FFE" w:rsidRDefault="006534A1" w:rsidP="004C72A0">
      <w:pPr>
        <w:spacing w:after="250" w:line="259" w:lineRule="auto"/>
        <w:ind w:left="-5" w:hanging="10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b/>
          <w:sz w:val="24"/>
          <w:szCs w:val="24"/>
          <w:lang w:val="sq-AL"/>
        </w:rPr>
        <w:t>Deklarime</w:t>
      </w:r>
      <w:r w:rsidR="004C72A0" w:rsidRPr="005B5FFE">
        <w:rPr>
          <w:rStyle w:val="tlid-translation"/>
          <w:rFonts w:ascii="Times New Roman" w:hAnsi="Times New Roman" w:cs="Times New Roman"/>
          <w:b/>
          <w:sz w:val="24"/>
          <w:szCs w:val="24"/>
          <w:lang w:val="sq-AL"/>
        </w:rPr>
        <w:t xml:space="preserve"> nga OST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Me nënshkrimin e kësaj Marrëveshje, OST i garanton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që:</w:t>
      </w:r>
    </w:p>
    <w:p w:rsidR="006534A1" w:rsidRPr="005B5FFE" w:rsidRDefault="006534A1" w:rsidP="006534A1">
      <w:pPr>
        <w:numPr>
          <w:ilvl w:val="1"/>
          <w:numId w:val="17"/>
        </w:numPr>
        <w:spacing w:after="139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Janë ndërmarrë</w:t>
      </w:r>
      <w:r w:rsidR="00501E0D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të gjitha veprimet e nevojshme për autorizimin e duhur, siç kërkohet nga Rregullat e Tregut Shqiptar të Balancimit, dhe</w:t>
      </w:r>
    </w:p>
    <w:p w:rsidR="006534A1" w:rsidRPr="005B5FFE" w:rsidRDefault="006534A1" w:rsidP="006534A1">
      <w:pPr>
        <w:numPr>
          <w:ilvl w:val="1"/>
          <w:numId w:val="17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Nënshkrimi i kësaj marrëveshje, të plotësuar nga Rregullat e Tregut Shqiptar të Balancimit nuk </w:t>
      </w:r>
      <w:r w:rsidR="005B5FFE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cenon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: ndonjë ligj, rregull, rregullore, marrëveshje ose dokument të detyrueshëm ose të zbatueshëm për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4C72A0" w:rsidRPr="005B5FFE" w:rsidRDefault="004C72A0" w:rsidP="006534A1">
      <w:pPr>
        <w:pStyle w:val="Heading1"/>
        <w:keepNext/>
        <w:keepLines/>
        <w:numPr>
          <w:ilvl w:val="0"/>
          <w:numId w:val="0"/>
        </w:numPr>
        <w:spacing w:before="0" w:after="251" w:line="265" w:lineRule="auto"/>
        <w:ind w:left="567" w:right="27"/>
        <w:contextualSpacing w:val="0"/>
        <w:jc w:val="center"/>
        <w:rPr>
          <w:rFonts w:cs="Times New Roman"/>
          <w:sz w:val="24"/>
          <w:szCs w:val="24"/>
        </w:rPr>
      </w:pPr>
      <w:bookmarkStart w:id="4" w:name="_Toc2767050"/>
      <w:r w:rsidRPr="005B5FFE">
        <w:rPr>
          <w:rFonts w:cs="Times New Roman"/>
          <w:sz w:val="24"/>
          <w:szCs w:val="24"/>
        </w:rPr>
        <w:t>V.</w:t>
      </w:r>
      <w:r w:rsidRPr="005B5FFE">
        <w:rPr>
          <w:rFonts w:cs="Times New Roman"/>
          <w:sz w:val="24"/>
          <w:szCs w:val="24"/>
        </w:rPr>
        <w:tab/>
        <w:t>KOHËZGJATJA E MARRËVESHJES</w:t>
      </w:r>
      <w:bookmarkEnd w:id="4"/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Kjo Marrëveshje hyn në fuqi në datën e nënshkrimit të saj nga të dy Palët dhe do të vazhdojë të jetë në fuqi deri në përfundimin nga secila Palë në përputhje me Seksionin III dhe Seksionin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VIII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ind w:left="432"/>
        <w:jc w:val="center"/>
        <w:rPr>
          <w:rFonts w:cs="Times New Roman"/>
          <w:sz w:val="24"/>
          <w:szCs w:val="24"/>
        </w:rPr>
      </w:pPr>
      <w:bookmarkStart w:id="5" w:name="_Toc2767051"/>
      <w:r w:rsidRPr="005B5FFE">
        <w:rPr>
          <w:rFonts w:cs="Times New Roman"/>
          <w:sz w:val="24"/>
          <w:szCs w:val="24"/>
        </w:rPr>
        <w:t>VI.</w:t>
      </w:r>
      <w:r w:rsidRPr="005B5FFE">
        <w:rPr>
          <w:rFonts w:cs="Times New Roman"/>
          <w:sz w:val="24"/>
          <w:szCs w:val="24"/>
        </w:rPr>
        <w:tab/>
        <w:t>KONFIDENCIALITETI</w:t>
      </w:r>
      <w:bookmarkEnd w:id="5"/>
    </w:p>
    <w:p w:rsidR="006534A1" w:rsidRPr="005B5FFE" w:rsidRDefault="006534A1" w:rsidP="006534A1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OST garanton që asnjë palë e tretë nuk do të ketë qasje ose të marrë informacione për çështjet që kanë të bëjnë me biznesin ose çështjet personale të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, të cilat rrjedhin nga transaksionet e kryera nga </w:t>
      </w:r>
      <w:r w:rsidR="00BC1A24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në tregun e balancimit. OST nuk do ta përdorë këtë informacion për qëllime të tjera përveç atyre që lidhen me aktivitetin e OST në transaksionet në tregun e balancimit.</w:t>
      </w:r>
    </w:p>
    <w:p w:rsidR="004C72A0" w:rsidRPr="005B5FFE" w:rsidRDefault="00BC1A24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do të garantojë që asnjë palë e tretë nuk do të ketë qasje ose të marrë informacion konfidencial në lidhje me aktivitetin, biznesin, konsumatorët, klientët  ose furnizuesit e OST.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Detyrimi i konfidencialitetit nuk ka të bëjë me informacionin, që është ose është bërë publik, jo për shkak të shkeljes së detyrimeve të konfidencialitetit sipas kësaj Marrëveshjeje. 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Detyrimi i konfidencialitetit nuk e kufizon OST për të paraqitur informacion tek ERE  ose ku dhe kur kjo kërkohet me ligj.</w:t>
      </w:r>
    </w:p>
    <w:p w:rsidR="004C72A0" w:rsidRPr="005B5FFE" w:rsidRDefault="00BC1A24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OSHB</w:t>
      </w:r>
      <w:r w:rsidR="004C72A0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pranon të drejtën e pronësisë së OST në informacionin tregtar si dhe të drejtën e tij  për të vepruar në përputhje me kushtet dhe kërkesat e Rregullave të Tregut Shqiptar të Balancimit.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jc w:val="center"/>
        <w:rPr>
          <w:rFonts w:cs="Times New Roman"/>
          <w:sz w:val="24"/>
          <w:szCs w:val="24"/>
          <w:lang w:bidi="ar-QA"/>
        </w:rPr>
      </w:pPr>
      <w:bookmarkStart w:id="6" w:name="_Toc2767052"/>
      <w:r w:rsidRPr="005B5FFE">
        <w:rPr>
          <w:rFonts w:cs="Times New Roman"/>
          <w:sz w:val="24"/>
          <w:szCs w:val="24"/>
          <w:lang w:bidi="ar-QA"/>
        </w:rPr>
        <w:t>VI</w:t>
      </w:r>
      <w:r w:rsidR="006534A1" w:rsidRPr="005B5FFE">
        <w:rPr>
          <w:rFonts w:cs="Times New Roman"/>
          <w:sz w:val="24"/>
          <w:szCs w:val="24"/>
          <w:lang w:bidi="ar-QA"/>
        </w:rPr>
        <w:t>I</w:t>
      </w:r>
      <w:r w:rsidRPr="005B5FFE">
        <w:rPr>
          <w:rFonts w:cs="Times New Roman"/>
          <w:sz w:val="24"/>
          <w:szCs w:val="24"/>
          <w:lang w:bidi="ar-QA"/>
        </w:rPr>
        <w:t>.</w:t>
      </w:r>
      <w:r w:rsidRPr="005B5FFE">
        <w:rPr>
          <w:rFonts w:cs="Times New Roman"/>
          <w:sz w:val="24"/>
          <w:szCs w:val="24"/>
          <w:lang w:bidi="ar-QA"/>
        </w:rPr>
        <w:tab/>
        <w:t>ZGJIDHJA E MOSMARRËVESHJEVE</w:t>
      </w:r>
      <w:bookmarkEnd w:id="6"/>
    </w:p>
    <w:p w:rsidR="004C72A0" w:rsidRPr="005B5FFE" w:rsidRDefault="004C72A0" w:rsidP="004C72A0">
      <w:pPr>
        <w:pStyle w:val="ListParagraph"/>
        <w:shd w:val="clear" w:color="auto" w:fill="FFFFFF"/>
        <w:tabs>
          <w:tab w:val="center" w:pos="0"/>
        </w:tabs>
        <w:spacing w:after="120" w:line="240" w:lineRule="auto"/>
        <w:ind w:left="567"/>
        <w:rPr>
          <w:rFonts w:cs="Times New Roman"/>
          <w:szCs w:val="24"/>
          <w:lang w:bidi="ar-QA"/>
        </w:rPr>
      </w:pPr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Në rast të mosmarrëveshjes në lidhje me zbatimin e kësaj Marrëveshjeje, Palët e Marrëveshjes do të bëjnë përpjekjet më të mira për të zgjidhur mosmarrëveshjen e tyre në mënyrë miqësore, nëpërmjet negocimit. Në rast se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Palët nuk mund ta zgjidhin mosmarrëveshjen përmes negocimit, Pala/Palët mund të paraqesin mosmarrëveshjen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e tyre në ERE në përputhje me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Rregulloren për trajtimin e ankesave të paraqitura nga klientët dhe për zgjidhjen e mosmarrëveshjeve ndërmjet të licencuarve në sektorin e energjisë elektrike dhe gazit natyror (Bordi i ERE-s vendimi nr 114, datë 8.7.2016).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Në rast se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mosmarrëveshja midis Palëve lidhet me interpretimin e Kodit të Transmetimit, Palët e kësaj Marrëveshje do të bëjnë zgjidhjen e mosmarrëveshjeve sipas </w:t>
      </w:r>
      <w:r w:rsidR="00501E0D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procedurës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së përcaktuar në Kodin e Transm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etimit, si edhe të zbatojnë 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Rregulloren për trajtimin e ankesave të paraqitura nga klientët dhe zgjidhjen e mosmarrëveshjeve ndërmjet të licencuarve.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Në rastin e mos-pëlqimit të vendimit të ERE, çdo Palë në Marrëveshje ka të drejtë të çojë çështjen për  zgjidhje në gjykatën kompetente në Tiranë.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jc w:val="center"/>
        <w:rPr>
          <w:rFonts w:cs="Times New Roman"/>
          <w:sz w:val="24"/>
          <w:szCs w:val="24"/>
        </w:rPr>
      </w:pPr>
      <w:bookmarkStart w:id="7" w:name="_Toc2767053"/>
      <w:r w:rsidRPr="005B5FFE">
        <w:rPr>
          <w:rFonts w:cs="Times New Roman"/>
          <w:sz w:val="24"/>
          <w:szCs w:val="24"/>
        </w:rPr>
        <w:t>VIII.</w:t>
      </w:r>
      <w:r w:rsidRPr="005B5FFE">
        <w:rPr>
          <w:rFonts w:cs="Times New Roman"/>
          <w:sz w:val="24"/>
          <w:szCs w:val="24"/>
        </w:rPr>
        <w:tab/>
        <w:t>AMENDIMI I MARRËVESHJES</w:t>
      </w:r>
      <w:bookmarkEnd w:id="7"/>
    </w:p>
    <w:p w:rsidR="006534A1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Kjo Marrëveshje është pjesë përbërëse e Rregullave të Tregut Shqiptar të Balancimit dhe si e tillë miratohet nga ERE. Amendimet </w:t>
      </w:r>
      <w:r w:rsidR="006534A1"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>e kësaj</w:t>
      </w:r>
      <w:r w:rsidRPr="005B5FFE">
        <w:rPr>
          <w:rStyle w:val="tlid-translation"/>
          <w:rFonts w:ascii="Times New Roman" w:hAnsi="Times New Roman" w:cs="Times New Roman"/>
          <w:sz w:val="24"/>
          <w:szCs w:val="24"/>
          <w:lang w:val="sq-AL"/>
        </w:rPr>
        <w:t xml:space="preserve"> marrëveshje kërkojnë miratimin e ERE.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OST mund të propozojë</w:t>
      </w:r>
      <w:r w:rsidR="006534A1"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>ndryshime në Rregullat e Tregut Shqiptar të Balancimit në përputhje me kushtet e përcaktuara në to.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Çdo amendim i Rregullave të Tregut Shqiptar të Balancimit ndikon drejtpërsëdrejti te Palët në këtë Marrëveshje.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ind w:right="343"/>
        <w:jc w:val="center"/>
        <w:rPr>
          <w:rFonts w:cs="Times New Roman"/>
          <w:sz w:val="24"/>
          <w:szCs w:val="24"/>
        </w:rPr>
      </w:pPr>
      <w:bookmarkStart w:id="8" w:name="_Toc2767054"/>
      <w:r w:rsidRPr="005B5FFE">
        <w:rPr>
          <w:rFonts w:cs="Times New Roman"/>
          <w:sz w:val="24"/>
          <w:szCs w:val="24"/>
        </w:rPr>
        <w:t>IX.</w:t>
      </w:r>
      <w:r w:rsidRPr="005B5FFE">
        <w:rPr>
          <w:rFonts w:cs="Times New Roman"/>
          <w:sz w:val="24"/>
          <w:szCs w:val="24"/>
        </w:rPr>
        <w:tab/>
        <w:t>PËRFUNDIMI I MARRËVESHJES</w:t>
      </w:r>
      <w:bookmarkEnd w:id="8"/>
    </w:p>
    <w:p w:rsidR="006534A1" w:rsidRPr="005B5FFE" w:rsidRDefault="006534A1" w:rsidP="006534A1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Secila nga palët mund ta përfundojë këtë Marrëveshje pas një njoftimi me shkrim, në përputhje me Rregullat e Tregut Shqiptar të Balancimit.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Përfundimi i përkohshëm ose</w:t>
      </w:r>
      <w:r w:rsidR="006534A1"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>përfundimtar i Marrëveshjes për shkak të mospërmbushjes së detyrimit nga njëra Palë rregullohet nga Rregullat e Tregut Shqiptar të Balancimit.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ind w:right="450"/>
        <w:jc w:val="center"/>
        <w:rPr>
          <w:rFonts w:cs="Times New Roman"/>
          <w:sz w:val="24"/>
          <w:szCs w:val="24"/>
        </w:rPr>
      </w:pPr>
      <w:bookmarkStart w:id="9" w:name="_Toc2767055"/>
      <w:r w:rsidRPr="005B5FFE">
        <w:rPr>
          <w:rFonts w:cs="Times New Roman"/>
          <w:sz w:val="24"/>
          <w:szCs w:val="24"/>
        </w:rPr>
        <w:t>X.</w:t>
      </w:r>
      <w:r w:rsidRPr="005B5FFE">
        <w:rPr>
          <w:rFonts w:cs="Times New Roman"/>
          <w:sz w:val="24"/>
          <w:szCs w:val="24"/>
        </w:rPr>
        <w:tab/>
        <w:t>NDASHMËRIA</w:t>
      </w:r>
      <w:bookmarkEnd w:id="9"/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Pavlefshmëria e ndonjë prej klauzolave të Marrëveshjes nuk çon në pavlefshmërinë e ndonjë klauzole tjetër ose të marrëveshjes në tërësi.</w:t>
      </w:r>
    </w:p>
    <w:p w:rsidR="004C72A0" w:rsidRPr="005B5FFE" w:rsidRDefault="004C72A0" w:rsidP="006534A1">
      <w:pPr>
        <w:pStyle w:val="Heading1"/>
        <w:numPr>
          <w:ilvl w:val="0"/>
          <w:numId w:val="0"/>
        </w:numPr>
        <w:ind w:right="559"/>
        <w:jc w:val="center"/>
        <w:rPr>
          <w:rFonts w:cs="Times New Roman"/>
          <w:sz w:val="24"/>
          <w:szCs w:val="24"/>
        </w:rPr>
      </w:pPr>
      <w:bookmarkStart w:id="10" w:name="_Toc2767056"/>
      <w:r w:rsidRPr="005B5FFE">
        <w:rPr>
          <w:rFonts w:cs="Times New Roman"/>
          <w:sz w:val="24"/>
          <w:szCs w:val="24"/>
        </w:rPr>
        <w:t>XI.</w:t>
      </w:r>
      <w:r w:rsidRPr="005B5FFE">
        <w:rPr>
          <w:rFonts w:cs="Times New Roman"/>
          <w:sz w:val="24"/>
          <w:szCs w:val="24"/>
        </w:rPr>
        <w:tab/>
        <w:t>ZBATIMI I LIGJIT</w:t>
      </w:r>
      <w:bookmarkEnd w:id="10"/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Çdo pretendim, mosmarrëveshje ose diferenca që mund të lindin nga ose në lidhje me këtë Marrëveshje, duke përfshirë çdo çështje në lidhje me ekzistencën, vlefshmërinë ose përfundimin e saj, do të zgjidhet në përputhje me legjislacionin shqiptar në fuqi.</w:t>
      </w:r>
    </w:p>
    <w:p w:rsidR="004C72A0" w:rsidRPr="005B5FFE" w:rsidRDefault="004C72A0" w:rsidP="006534A1">
      <w:pPr>
        <w:numPr>
          <w:ilvl w:val="0"/>
          <w:numId w:val="6"/>
        </w:numPr>
        <w:spacing w:after="260" w:line="25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Secila Palë heq dorë nga çdo kundërshtim që mund të ketë tani ose më vonë lidhur me seancat e zhvilluara në gjykatat shqiptare dhe gjithashtu pranon që vendimi i marrë në gjykatat shqiptare do të jetë përfundimtar dhe i detyrueshëm për Palët.</w:t>
      </w:r>
    </w:p>
    <w:p w:rsidR="004C72A0" w:rsidRPr="005B5FFE" w:rsidRDefault="004C72A0" w:rsidP="004C72A0">
      <w:pPr>
        <w:pStyle w:val="LDKbody"/>
        <w:rPr>
          <w:szCs w:val="24"/>
          <w:lang w:val="sq-AL"/>
        </w:rPr>
      </w:pPr>
      <w:r w:rsidRPr="005B5FFE">
        <w:rPr>
          <w:szCs w:val="24"/>
          <w:lang w:val="sq-AL"/>
        </w:rPr>
        <w:t>NË DËSHMI TË</w:t>
      </w:r>
      <w:r w:rsidR="006534A1" w:rsidRPr="005B5FFE">
        <w:rPr>
          <w:szCs w:val="24"/>
          <w:lang w:val="sq-AL"/>
        </w:rPr>
        <w:t xml:space="preserve"> </w:t>
      </w:r>
      <w:r w:rsidRPr="005B5FFE">
        <w:rPr>
          <w:szCs w:val="24"/>
          <w:lang w:val="sq-AL"/>
        </w:rPr>
        <w:t>KËSAJ MARRËVESHJE, secila Palë ka bërë të mundur që përfaqësuesi i saj i autorizuar të zbatojë këtë marrëveshje, e cila është në fuqi që nga data e nënshkrimit nga të dy Palët.</w:t>
      </w:r>
    </w:p>
    <w:p w:rsidR="004C72A0" w:rsidRPr="005B5FFE" w:rsidRDefault="004C72A0" w:rsidP="006534A1">
      <w:pPr>
        <w:pStyle w:val="LDKbody"/>
        <w:rPr>
          <w:szCs w:val="24"/>
          <w:lang w:val="sq-AL"/>
        </w:rPr>
      </w:pPr>
      <w:r w:rsidRPr="005B5FFE">
        <w:rPr>
          <w:szCs w:val="24"/>
          <w:lang w:val="sq-AL"/>
        </w:rPr>
        <w:t>Kjo marrëveshje nënshkruhet në katër (4) kopje origjinale, dy (2) në gjuhën angleze dhe dy (2) në gjuhën shqipe dhe secila Palë mban dy (2), një (1) për çdo gjuhë.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dhe në emër të </w:t>
      </w:r>
      <w:r w:rsidR="00BC1A24"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72A0" w:rsidRPr="005B5FFE" w:rsidRDefault="00CA42B6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502910" cy="5080"/>
                <wp:effectExtent l="0" t="1905" r="254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5080"/>
                          <a:chOff x="0" y="0"/>
                          <a:chExt cx="55031" cy="53"/>
                        </a:xfrm>
                      </wpg:grpSpPr>
                      <wps:wsp>
                        <wps:cNvPr id="5" name="Shape 70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052" cy="91"/>
                          </a:xfrm>
                          <a:custGeom>
                            <a:avLst/>
                            <a:gdLst>
                              <a:gd name="T0" fmla="*/ 0 w 2605278"/>
                              <a:gd name="T1" fmla="*/ 0 h 9144"/>
                              <a:gd name="T2" fmla="*/ 26052 w 2605278"/>
                              <a:gd name="T3" fmla="*/ 0 h 9144"/>
                              <a:gd name="T4" fmla="*/ 26052 w 2605278"/>
                              <a:gd name="T5" fmla="*/ 91 h 9144"/>
                              <a:gd name="T6" fmla="*/ 0 w 2605278"/>
                              <a:gd name="T7" fmla="*/ 91 h 9144"/>
                              <a:gd name="T8" fmla="*/ 0 w 260527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605278"/>
                              <a:gd name="T16" fmla="*/ 0 h 9144"/>
                              <a:gd name="T17" fmla="*/ 2605278 w 260527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605278" h="9144">
                                <a:moveTo>
                                  <a:pt x="0" y="0"/>
                                </a:moveTo>
                                <a:lnTo>
                                  <a:pt x="2605278" y="0"/>
                                </a:lnTo>
                                <a:lnTo>
                                  <a:pt x="2605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7066"/>
                        <wps:cNvSpPr>
                          <a:spLocks/>
                        </wps:cNvSpPr>
                        <wps:spPr bwMode="auto">
                          <a:xfrm>
                            <a:off x="29443" y="0"/>
                            <a:ext cx="25588" cy="91"/>
                          </a:xfrm>
                          <a:custGeom>
                            <a:avLst/>
                            <a:gdLst>
                              <a:gd name="T0" fmla="*/ 0 w 2558796"/>
                              <a:gd name="T1" fmla="*/ 0 h 9144"/>
                              <a:gd name="T2" fmla="*/ 25588 w 2558796"/>
                              <a:gd name="T3" fmla="*/ 0 h 9144"/>
                              <a:gd name="T4" fmla="*/ 25588 w 2558796"/>
                              <a:gd name="T5" fmla="*/ 91 h 9144"/>
                              <a:gd name="T6" fmla="*/ 0 w 2558796"/>
                              <a:gd name="T7" fmla="*/ 91 h 9144"/>
                              <a:gd name="T8" fmla="*/ 0 w 255879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558796"/>
                              <a:gd name="T16" fmla="*/ 0 h 9144"/>
                              <a:gd name="T17" fmla="*/ 2558796 w 2558796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558796" h="9144">
                                <a:moveTo>
                                  <a:pt x="0" y="0"/>
                                </a:moveTo>
                                <a:lnTo>
                                  <a:pt x="2558796" y="0"/>
                                </a:lnTo>
                                <a:lnTo>
                                  <a:pt x="2558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2469C" id="Group 2" o:spid="_x0000_s1026" style="width:433.3pt;height:.4pt;mso-position-horizontal-relative:char;mso-position-vertical-relative:line" coordsize="5503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">
                <v:shape id="Shape 7065" o:spid="_x0000_s1027" style="position:absolute;width:26052;height:91;visibility:visible;mso-wrap-style:square;v-text-anchor:top" coordsize="26052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vm9sMA&#10;AADaAAAADwAAAGRycy9kb3ducmV2LnhtbESP3WrCQBSE7wu+w3KE3jUbhUhJXcUKgu2F2NgHOGSP&#10;SZrs2ZDd/PTtXUHwcpiZb5j1djKNGKhzlWUFiygGQZxbXXGh4PdyeHsH4TyyxsYyKfgnB9vN7GWN&#10;qbYj/9CQ+UIECLsUFZTet6mULi/JoItsSxy8q+0M+iC7QuoOxwA3jVzG8UoarDgslNjSvqS8znqj&#10;oP2uznbcX4ddXZ//rPk8fbmkV+p1Pu0+QHia/DP8aB+1ggTuV8IN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vm9sMAAADaAAAADwAAAAAAAAAAAAAAAACYAgAAZHJzL2Rv&#10;d25yZXYueG1sUEsFBgAAAAAEAAQA9QAAAIgDAAAAAA==&#10;" path="m,l2605278,r,9144l,9144,,e" fillcolor="black" stroked="f" strokeweight="0">
                  <v:stroke miterlimit="83231f" joinstyle="miter"/>
                  <v:path arrowok="t" o:connecttype="custom" o:connectlocs="0,0;261,0;261,1;0,1;0,0" o:connectangles="0,0,0,0,0" textboxrect="0,0,2605278,9144"/>
                </v:shape>
                <v:shape id="Shape 7066" o:spid="_x0000_s1028" style="position:absolute;left:29443;width:25588;height:91;visibility:visible;mso-wrap-style:square;v-text-anchor:top" coordsize="25587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10lsEA&#10;AADaAAAADwAAAGRycy9kb3ducmV2LnhtbESPwWrDMBBE74H+g9hCbrHsHkxxrISSUMihF6el58Xa&#10;2CbWypVkx/77KhDIcZiZN0y5n00vJnK+s6wgS1IQxLXVHTcKfr4/N+8gfEDW2FsmBQt52O9eViUW&#10;2t64oukcGhEh7AtU0IYwFFL6uiWDPrEDcfQu1hkMUbpGaoe3CDe9fEvTXBrsOC60ONChpfp6Ho2C&#10;0X1Ng8nMcfqtjv0yHnA5ZX9KrV/njy2IQHN4hh/tk1aQw/1KvAF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ddJbBAAAA2gAAAA8AAAAAAAAAAAAAAAAAmAIAAGRycy9kb3du&#10;cmV2LnhtbFBLBQYAAAAABAAEAPUAAACGAwAAAAA=&#10;" path="m,l2558796,r,9144l,9144,,e" fillcolor="black" stroked="f" strokeweight="0">
                  <v:stroke miterlimit="83231f" joinstyle="miter"/>
                  <v:path arrowok="t" o:connecttype="custom" o:connectlocs="0,0;256,0;256,1;0,1;0,0" o:connectangles="0,0,0,0,0" textboxrect="0,0,2558796,9144"/>
                </v:shape>
                <w10:anchorlock/>
              </v:group>
            </w:pict>
          </mc:Fallback>
        </mc:AlternateConten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Nënshkrimi 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  <w:t xml:space="preserve">Emri dhe Titulli (me shkronja </w:t>
      </w:r>
      <w:r w:rsidR="006534A1" w:rsidRPr="005B5FFE">
        <w:rPr>
          <w:rFonts w:ascii="Times New Roman" w:hAnsi="Times New Roman" w:cs="Times New Roman"/>
          <w:sz w:val="24"/>
          <w:szCs w:val="24"/>
          <w:lang w:val="sq-AL"/>
        </w:rPr>
        <w:t>shtypi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Datë: 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Për dhe në emër të OST sh.a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4C72A0" w:rsidRPr="005B5FFE" w:rsidRDefault="00CA42B6" w:rsidP="006534A1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502910" cy="5080"/>
                <wp:effectExtent l="0" t="1270" r="2540" b="317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5080"/>
                          <a:chOff x="0" y="0"/>
                          <a:chExt cx="55031" cy="53"/>
                        </a:xfrm>
                      </wpg:grpSpPr>
                      <wps:wsp>
                        <wps:cNvPr id="2" name="Shape 70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052" cy="91"/>
                          </a:xfrm>
                          <a:custGeom>
                            <a:avLst/>
                            <a:gdLst>
                              <a:gd name="T0" fmla="*/ 0 w 2605278"/>
                              <a:gd name="T1" fmla="*/ 0 h 9144"/>
                              <a:gd name="T2" fmla="*/ 26052 w 2605278"/>
                              <a:gd name="T3" fmla="*/ 0 h 9144"/>
                              <a:gd name="T4" fmla="*/ 26052 w 2605278"/>
                              <a:gd name="T5" fmla="*/ 91 h 9144"/>
                              <a:gd name="T6" fmla="*/ 0 w 2605278"/>
                              <a:gd name="T7" fmla="*/ 91 h 9144"/>
                              <a:gd name="T8" fmla="*/ 0 w 260527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605278"/>
                              <a:gd name="T16" fmla="*/ 0 h 9144"/>
                              <a:gd name="T17" fmla="*/ 2605278 w 260527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605278" h="9144">
                                <a:moveTo>
                                  <a:pt x="0" y="0"/>
                                </a:moveTo>
                                <a:lnTo>
                                  <a:pt x="2605278" y="0"/>
                                </a:lnTo>
                                <a:lnTo>
                                  <a:pt x="2605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070"/>
                        <wps:cNvSpPr>
                          <a:spLocks/>
                        </wps:cNvSpPr>
                        <wps:spPr bwMode="auto">
                          <a:xfrm>
                            <a:off x="29443" y="0"/>
                            <a:ext cx="25588" cy="91"/>
                          </a:xfrm>
                          <a:custGeom>
                            <a:avLst/>
                            <a:gdLst>
                              <a:gd name="T0" fmla="*/ 0 w 2558796"/>
                              <a:gd name="T1" fmla="*/ 0 h 9144"/>
                              <a:gd name="T2" fmla="*/ 25588 w 2558796"/>
                              <a:gd name="T3" fmla="*/ 0 h 9144"/>
                              <a:gd name="T4" fmla="*/ 25588 w 2558796"/>
                              <a:gd name="T5" fmla="*/ 91 h 9144"/>
                              <a:gd name="T6" fmla="*/ 0 w 2558796"/>
                              <a:gd name="T7" fmla="*/ 91 h 9144"/>
                              <a:gd name="T8" fmla="*/ 0 w 255879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558796"/>
                              <a:gd name="T16" fmla="*/ 0 h 9144"/>
                              <a:gd name="T17" fmla="*/ 2558796 w 2558796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558796" h="9144">
                                <a:moveTo>
                                  <a:pt x="0" y="0"/>
                                </a:moveTo>
                                <a:lnTo>
                                  <a:pt x="2558796" y="0"/>
                                </a:lnTo>
                                <a:lnTo>
                                  <a:pt x="2558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1886E" id="Group 6" o:spid="_x0000_s1026" style="width:433.3pt;height:.4pt;mso-position-horizontal-relative:char;mso-position-vertical-relative:line" coordsize="5503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">
                <v:shape id="Shape 7069" o:spid="_x0000_s1027" style="position:absolute;width:26052;height:91;visibility:visible;mso-wrap-style:square;v-text-anchor:top" coordsize="26052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+gsMA&#10;AADaAAAADwAAAGRycy9kb3ducmV2LnhtbESP3WrCQBSE7wu+w3KE3jUbAy0luooKgvZCbPQBDtlj&#10;EpM9G7Kbn769Wyj0cpiZb5jVZjKNGKhzlWUFiygGQZxbXXGh4HY9vH2CcB5ZY2OZFPyQg8169rLC&#10;VNuRv2nIfCEChF2KCkrv21RKl5dk0EW2JQ7e3XYGfZBdIXWHY4CbRiZx/CENVhwWSmxpX1JeZ71R&#10;0H5VFzvu78O2ri8Pa3bnk3vvlXqdT9slCE+T/w//tY9aQQK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J+gsMAAADaAAAADwAAAAAAAAAAAAAAAACYAgAAZHJzL2Rv&#10;d25yZXYueG1sUEsFBgAAAAAEAAQA9QAAAIgDAAAAAA==&#10;" path="m,l2605278,r,9144l,9144,,e" fillcolor="black" stroked="f" strokeweight="0">
                  <v:stroke miterlimit="83231f" joinstyle="miter"/>
                  <v:path arrowok="t" o:connecttype="custom" o:connectlocs="0,0;261,0;261,1;0,1;0,0" o:connectangles="0,0,0,0,0" textboxrect="0,0,2605278,9144"/>
                </v:shape>
                <v:shape id="Shape 7070" o:spid="_x0000_s1028" style="position:absolute;left:29443;width:25588;height:91;visibility:visible;mso-wrap-style:square;v-text-anchor:top" coordsize="25587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XDsEA&#10;AADaAAAADwAAAGRycy9kb3ducmV2LnhtbESPzWrDMBCE74G+g9hCb7XsFEJxo4QSU/AhF6cl58Xa&#10;2qbWypXkv7evCoEch5n5htkfF9OLiZzvLCvIkhQEcW11x42Cr8+P51cQPiBr7C2TgpU8HA8Pmz3m&#10;2s5c0XQJjYgQ9jkqaEMYcil93ZJBn9iBOHrf1hkMUbpGaodzhJtebtN0Jw12HBdaHOjUUv1zGY2C&#10;0Z2nwWSmmK5V0a/jCdcy+1Xq6XF5fwMRaAn38K1dagUv8H8l3g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q1w7BAAAA2gAAAA8AAAAAAAAAAAAAAAAAmAIAAGRycy9kb3du&#10;cmV2LnhtbFBLBQYAAAAABAAEAPUAAACGAwAAAAA=&#10;" path="m,l2558796,r,9144l,9144,,e" fillcolor="black" stroked="f" strokeweight="0">
                  <v:stroke miterlimit="83231f" joinstyle="miter"/>
                  <v:path arrowok="t" o:connecttype="custom" o:connectlocs="0,0;256,0;256,1;0,1;0,0" o:connectangles="0,0,0,0,0" textboxrect="0,0,2558796,9144"/>
                </v:shape>
                <w10:anchorlock/>
              </v:group>
            </w:pict>
          </mc:Fallback>
        </mc:AlternateConten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Nënshkrimi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Emri dhe Titulli (</w:t>
      </w:r>
      <w:r w:rsidR="006534A1" w:rsidRPr="005B5FFE">
        <w:rPr>
          <w:rFonts w:ascii="Times New Roman" w:hAnsi="Times New Roman" w:cs="Times New Roman"/>
          <w:sz w:val="24"/>
          <w:szCs w:val="24"/>
          <w:lang w:val="sq-AL"/>
        </w:rPr>
        <w:t>me shkronja shtypi</w:t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B5FFE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4C72A0" w:rsidRPr="005B5FFE" w:rsidRDefault="006534A1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sz w:val="24"/>
          <w:szCs w:val="24"/>
          <w:lang w:val="sq-AL"/>
        </w:rPr>
        <w:t>Datë</w:t>
      </w:r>
      <w:r w:rsidR="004C72A0" w:rsidRPr="005B5FF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:rsidR="004C72A0" w:rsidRPr="005B5FFE" w:rsidRDefault="004C72A0" w:rsidP="006534A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6534A1">
      <w:pPr>
        <w:spacing w:after="8"/>
        <w:ind w:left="-1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Aplikimet, pjesë përbërëse e kësaj marrëveshjeje:</w:t>
      </w:r>
    </w:p>
    <w:p w:rsidR="004C72A0" w:rsidRPr="005B5FFE" w:rsidRDefault="004C72A0" w:rsidP="006534A1">
      <w:pPr>
        <w:numPr>
          <w:ilvl w:val="0"/>
          <w:numId w:val="3"/>
        </w:numPr>
        <w:spacing w:after="0" w:line="250" w:lineRule="auto"/>
        <w:ind w:left="709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Informacion rreth personave përgjegjës për tregtimin dhe shlyerjen në emër të </w:t>
      </w:r>
      <w:r w:rsidR="00BC1A24">
        <w:rPr>
          <w:rFonts w:ascii="Times New Roman" w:eastAsia="Times New Roman" w:hAnsi="Times New Roman" w:cs="Times New Roman"/>
          <w:sz w:val="24"/>
          <w:szCs w:val="24"/>
          <w:lang w:val="sq-AL"/>
        </w:rPr>
        <w:t>OSHB</w:t>
      </w: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PPB së tij.</w:t>
      </w:r>
    </w:p>
    <w:p w:rsidR="004C72A0" w:rsidRPr="005B5FFE" w:rsidRDefault="004C72A0" w:rsidP="006534A1">
      <w:pPr>
        <w:numPr>
          <w:ilvl w:val="0"/>
          <w:numId w:val="3"/>
        </w:numPr>
        <w:spacing w:after="0" w:line="250" w:lineRule="auto"/>
        <w:ind w:left="709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Kolaterali fillestar.</w:t>
      </w:r>
    </w:p>
    <w:p w:rsidR="004C72A0" w:rsidRPr="005B5FFE" w:rsidRDefault="004C72A0" w:rsidP="006534A1">
      <w:pPr>
        <w:numPr>
          <w:ilvl w:val="0"/>
          <w:numId w:val="3"/>
        </w:numPr>
        <w:spacing w:after="0" w:line="250" w:lineRule="auto"/>
        <w:ind w:left="709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Deklarata për kompensimin e detyrimeve.</w:t>
      </w:r>
    </w:p>
    <w:p w:rsidR="004C72A0" w:rsidRPr="005B5FFE" w:rsidRDefault="004C72A0" w:rsidP="006534A1">
      <w:pPr>
        <w:numPr>
          <w:ilvl w:val="0"/>
          <w:numId w:val="3"/>
        </w:numPr>
        <w:spacing w:after="0" w:line="250" w:lineRule="auto"/>
        <w:ind w:left="709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sz w:val="24"/>
          <w:szCs w:val="24"/>
          <w:lang w:val="sq-AL"/>
        </w:rPr>
        <w:t>Deklarata për pëlqimin për marrjen e faturave elektronike.</w:t>
      </w:r>
    </w:p>
    <w:p w:rsidR="004C72A0" w:rsidRPr="005B5FFE" w:rsidRDefault="004C72A0" w:rsidP="004C72A0">
      <w:pPr>
        <w:spacing w:after="0" w:line="250" w:lineRule="auto"/>
        <w:ind w:left="709"/>
        <w:rPr>
          <w:rFonts w:ascii="Times New Roman" w:hAnsi="Times New Roman" w:cs="Times New Roman"/>
          <w:sz w:val="24"/>
          <w:szCs w:val="24"/>
          <w:lang w:val="sq-AL"/>
        </w:rPr>
      </w:pPr>
    </w:p>
    <w:p w:rsidR="004C72A0" w:rsidRPr="005B5FFE" w:rsidRDefault="004C72A0" w:rsidP="004C72A0">
      <w:pPr>
        <w:spacing w:after="0" w:line="259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B5FFE">
        <w:rPr>
          <w:rFonts w:ascii="Times New Roman" w:hAnsi="Times New Roman" w:cs="Times New Roman"/>
          <w:b/>
          <w:i/>
          <w:sz w:val="24"/>
          <w:szCs w:val="24"/>
          <w:u w:val="single" w:color="000000"/>
          <w:lang w:val="sq-AL"/>
        </w:rPr>
        <w:t>Shënim:</w:t>
      </w:r>
    </w:p>
    <w:p w:rsidR="004C72A0" w:rsidRPr="005B5FFE" w:rsidRDefault="004C72A0" w:rsidP="006534A1">
      <w:pPr>
        <w:spacing w:after="0" w:line="265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Marrëveshja nënshkruhet nga përfaqësuesi i </w:t>
      </w:r>
      <w:r w:rsidR="00BC1A2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OSHB</w:t>
      </w: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në përputhje me </w:t>
      </w:r>
      <w:r w:rsidR="005B5FFE"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certifikatën</w:t>
      </w: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për regjistrim të dorëzuar në pro</w:t>
      </w:r>
      <w:r w:rsidR="006534A1"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c</w:t>
      </w: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esin e regjistrimit. OST mund të kërkojë informacion shtesë në rast se</w:t>
      </w:r>
      <w:r w:rsid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</w:t>
      </w:r>
      <w:r w:rsidR="00BC1A2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OSHB</w:t>
      </w: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nuk është regjistruar në regjistrin tregtar shqiptar dhe për këtë arsye nuk është në gjendje të paraqesë </w:t>
      </w:r>
      <w:r w:rsidR="005B5FFE"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certifikatën</w:t>
      </w:r>
      <w:r w:rsidRPr="005B5FFE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e nevojshme të regjistrimit.</w:t>
      </w:r>
    </w:p>
    <w:p w:rsidR="004C72A0" w:rsidRPr="005B5FFE" w:rsidRDefault="004C72A0" w:rsidP="004C72A0">
      <w:pPr>
        <w:spacing w:after="0" w:line="265" w:lineRule="auto"/>
        <w:ind w:left="-5" w:hanging="10"/>
        <w:rPr>
          <w:rFonts w:ascii="Times New Roman" w:hAnsi="Times New Roman" w:cs="Times New Roman"/>
          <w:sz w:val="24"/>
          <w:szCs w:val="24"/>
          <w:lang w:val="sq-AL"/>
        </w:rPr>
      </w:pPr>
    </w:p>
    <w:p w:rsidR="004C6918" w:rsidRPr="005B5FFE" w:rsidRDefault="004C6918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4C6918" w:rsidRPr="005B5FFE" w:rsidSect="0095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807"/>
    <w:multiLevelType w:val="hybridMultilevel"/>
    <w:tmpl w:val="60700922"/>
    <w:lvl w:ilvl="0" w:tplc="74C08838">
      <w:start w:val="9"/>
      <w:numFmt w:val="decimal"/>
      <w:lvlText w:val="%1."/>
      <w:lvlJc w:val="left"/>
      <w:pPr>
        <w:ind w:left="567" w:hanging="56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B85F22">
      <w:start w:val="1"/>
      <w:numFmt w:val="lowerLetter"/>
      <w:lvlText w:val="%2."/>
      <w:lvlJc w:val="left"/>
      <w:pPr>
        <w:ind w:left="1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86730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027F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4239E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66254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0C00AA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64B3C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5628D8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61C6D"/>
    <w:multiLevelType w:val="hybridMultilevel"/>
    <w:tmpl w:val="585AC6B0"/>
    <w:lvl w:ilvl="0" w:tplc="ABF41B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A4784">
      <w:start w:val="1"/>
      <w:numFmt w:val="upperRoman"/>
      <w:pStyle w:val="Style1"/>
      <w:lvlText w:val="%5."/>
      <w:lvlJc w:val="left"/>
      <w:pPr>
        <w:ind w:left="810" w:hanging="72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449B"/>
    <w:multiLevelType w:val="hybridMultilevel"/>
    <w:tmpl w:val="664A7C0C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4AA"/>
    <w:multiLevelType w:val="hybridMultilevel"/>
    <w:tmpl w:val="4814AD06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5D3C"/>
    <w:multiLevelType w:val="hybridMultilevel"/>
    <w:tmpl w:val="455C26DC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12B7F"/>
    <w:multiLevelType w:val="hybridMultilevel"/>
    <w:tmpl w:val="BD3643D6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F495B"/>
    <w:multiLevelType w:val="hybridMultilevel"/>
    <w:tmpl w:val="BB80A148"/>
    <w:lvl w:ilvl="0" w:tplc="822A2512">
      <w:start w:val="1"/>
      <w:numFmt w:val="decimal"/>
      <w:lvlText w:val="%1."/>
      <w:lvlJc w:val="left"/>
      <w:pPr>
        <w:ind w:left="567" w:hanging="56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E7191"/>
    <w:multiLevelType w:val="hybridMultilevel"/>
    <w:tmpl w:val="4A529A48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865A5"/>
    <w:multiLevelType w:val="hybridMultilevel"/>
    <w:tmpl w:val="8ABE32EC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85F02"/>
    <w:multiLevelType w:val="hybridMultilevel"/>
    <w:tmpl w:val="2208E676"/>
    <w:lvl w:ilvl="0" w:tplc="610EE2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7E9785E"/>
    <w:multiLevelType w:val="hybridMultilevel"/>
    <w:tmpl w:val="264EFD7A"/>
    <w:lvl w:ilvl="0" w:tplc="31E45618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CB7"/>
    <w:multiLevelType w:val="hybridMultilevel"/>
    <w:tmpl w:val="F52C2D5E"/>
    <w:lvl w:ilvl="0" w:tplc="C406A2B0">
      <w:start w:val="1"/>
      <w:numFmt w:val="decimal"/>
      <w:lvlText w:val="%1."/>
      <w:lvlJc w:val="left"/>
      <w:pPr>
        <w:ind w:left="567" w:hanging="567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0F41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8002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4EEA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A785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8077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469BD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0C29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866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2D0FC7"/>
    <w:multiLevelType w:val="multilevel"/>
    <w:tmpl w:val="EF38B7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56" w:hanging="576"/>
      </w:pPr>
      <w:rPr>
        <w:rFonts w:ascii="Times New Roman Bold" w:hAnsi="Times New Roman Bold"/>
        <w:color w:val="auto"/>
        <w:spacing w:val="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8A158FF"/>
    <w:multiLevelType w:val="hybridMultilevel"/>
    <w:tmpl w:val="3934E25A"/>
    <w:lvl w:ilvl="0" w:tplc="31E45618">
      <w:start w:val="1"/>
      <w:numFmt w:val="decimal"/>
      <w:lvlText w:val="%1."/>
      <w:lvlJc w:val="left"/>
      <w:pPr>
        <w:ind w:left="78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94614F0"/>
    <w:multiLevelType w:val="hybridMultilevel"/>
    <w:tmpl w:val="C6F434D6"/>
    <w:lvl w:ilvl="0" w:tplc="E8B85F22">
      <w:start w:val="1"/>
      <w:numFmt w:val="lowerLetter"/>
      <w:lvlText w:val="%1."/>
      <w:lvlJc w:val="left"/>
      <w:pPr>
        <w:ind w:left="1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90211"/>
    <w:multiLevelType w:val="hybridMultilevel"/>
    <w:tmpl w:val="CE58927A"/>
    <w:lvl w:ilvl="0" w:tplc="C8085EC2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10AC2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4FE2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282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C67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50B11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8FEA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2D81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4854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A70C04"/>
    <w:multiLevelType w:val="hybridMultilevel"/>
    <w:tmpl w:val="66B23E7E"/>
    <w:lvl w:ilvl="0" w:tplc="AC108B56">
      <w:start w:val="1"/>
      <w:numFmt w:val="decimal"/>
      <w:lvlText w:val="%1."/>
      <w:lvlJc w:val="left"/>
      <w:pPr>
        <w:ind w:left="567" w:hanging="56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F486A"/>
    <w:multiLevelType w:val="hybridMultilevel"/>
    <w:tmpl w:val="F8662DCE"/>
    <w:lvl w:ilvl="0" w:tplc="AEEAB1C8">
      <w:start w:val="1"/>
      <w:numFmt w:val="decimal"/>
      <w:lvlText w:val="%1."/>
      <w:lvlJc w:val="left"/>
      <w:pPr>
        <w:ind w:left="567" w:hanging="56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16"/>
  </w:num>
  <w:num w:numId="9">
    <w:abstractNumId w:val="14"/>
  </w:num>
  <w:num w:numId="10">
    <w:abstractNumId w:val="17"/>
  </w:num>
  <w:num w:numId="11">
    <w:abstractNumId w:val="2"/>
  </w:num>
  <w:num w:numId="12">
    <w:abstractNumId w:val="5"/>
  </w:num>
  <w:num w:numId="13">
    <w:abstractNumId w:val="10"/>
  </w:num>
  <w:num w:numId="14">
    <w:abstractNumId w:val="7"/>
  </w:num>
  <w:num w:numId="15">
    <w:abstractNumId w:val="8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A0"/>
    <w:rsid w:val="002C7AB4"/>
    <w:rsid w:val="002E588A"/>
    <w:rsid w:val="004C6918"/>
    <w:rsid w:val="004C72A0"/>
    <w:rsid w:val="00501E0D"/>
    <w:rsid w:val="005B5FFE"/>
    <w:rsid w:val="006534A1"/>
    <w:rsid w:val="00706A29"/>
    <w:rsid w:val="00950370"/>
    <w:rsid w:val="00BA28B5"/>
    <w:rsid w:val="00BC1A24"/>
    <w:rsid w:val="00C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58875-DBDF-4829-94AA-4F25C0C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- LDK,Επικεφαλίδα 1 Char,Headline,ELI PD H1,Hoofdstuk,ΔΞ-Άρθρο,ÄÎ-¢ñèñï,Heading 1 Char1 Char,Heading 1 Char Char Char,EX Heading 1,Exr Heading 1,Exergia Heading 1,1,FIAS,ARTICULO 1º,h1,Section Heading,HEADING 1,Section,LetHead1"/>
    <w:basedOn w:val="Normal"/>
    <w:next w:val="Normal"/>
    <w:link w:val="Heading1Char"/>
    <w:uiPriority w:val="2"/>
    <w:qFormat/>
    <w:rsid w:val="004C72A0"/>
    <w:pPr>
      <w:numPr>
        <w:numId w:val="1"/>
      </w:numPr>
      <w:spacing w:before="480" w:after="0"/>
      <w:contextualSpacing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q-AL"/>
    </w:rPr>
  </w:style>
  <w:style w:type="paragraph" w:styleId="Heading2">
    <w:name w:val="heading 2"/>
    <w:aliases w:val="Heading 2 - LDK,ELI PD H2,Overskrift 2- ref,EX Heading 2,Exr Heading 2,Exergia Heading 2,Subchapter 1.1,Chapter Indo,Major,título 2,título 21,título 22,título 23,título 24,título 25,Titulo 2,H2-Heading 2,2,Header 2,l2,Header2,h2,22,Titre2"/>
    <w:basedOn w:val="Normal"/>
    <w:next w:val="Normal"/>
    <w:link w:val="Heading2Char"/>
    <w:uiPriority w:val="9"/>
    <w:unhideWhenUsed/>
    <w:qFormat/>
    <w:rsid w:val="004C72A0"/>
    <w:pPr>
      <w:numPr>
        <w:ilvl w:val="1"/>
        <w:numId w:val="1"/>
      </w:numPr>
      <w:spacing w:before="200" w:after="0"/>
      <w:ind w:left="576"/>
      <w:jc w:val="both"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val="sq-AL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4C72A0"/>
    <w:pPr>
      <w:numPr>
        <w:ilvl w:val="3"/>
        <w:numId w:val="1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Cs/>
      <w:iCs/>
      <w:sz w:val="24"/>
      <w:lang w:val="sq-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2A0"/>
    <w:pPr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lang w:val="sq-AL"/>
    </w:rPr>
  </w:style>
  <w:style w:type="paragraph" w:styleId="Heading6">
    <w:name w:val="heading 6"/>
    <w:aliases w:val="level6,level 6"/>
    <w:basedOn w:val="Normal"/>
    <w:next w:val="Normal"/>
    <w:link w:val="Heading6Char"/>
    <w:unhideWhenUsed/>
    <w:qFormat/>
    <w:rsid w:val="004C72A0"/>
    <w:pPr>
      <w:numPr>
        <w:ilvl w:val="5"/>
        <w:numId w:val="1"/>
      </w:numPr>
      <w:spacing w:before="120" w:after="0"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sq-AL"/>
    </w:rPr>
  </w:style>
  <w:style w:type="paragraph" w:styleId="Heading7">
    <w:name w:val="heading 7"/>
    <w:aliases w:val="level1noheading,level1-noHeading"/>
    <w:basedOn w:val="Normal"/>
    <w:next w:val="Normal"/>
    <w:link w:val="Heading7Char"/>
    <w:uiPriority w:val="2"/>
    <w:unhideWhenUsed/>
    <w:qFormat/>
    <w:rsid w:val="004C72A0"/>
    <w:pPr>
      <w:numPr>
        <w:ilvl w:val="6"/>
        <w:numId w:val="1"/>
      </w:numPr>
      <w:spacing w:before="120" w:after="0"/>
      <w:jc w:val="both"/>
      <w:outlineLvl w:val="6"/>
    </w:pPr>
    <w:rPr>
      <w:rFonts w:asciiTheme="majorHAnsi" w:eastAsiaTheme="majorEastAsia" w:hAnsiTheme="majorHAnsi" w:cstheme="majorBidi"/>
      <w:i/>
      <w:iCs/>
      <w:sz w:val="24"/>
      <w:lang w:val="sq-AL"/>
    </w:rPr>
  </w:style>
  <w:style w:type="paragraph" w:styleId="Heading8">
    <w:name w:val="heading 8"/>
    <w:aliases w:val="level2(a)"/>
    <w:basedOn w:val="Normal"/>
    <w:next w:val="Normal"/>
    <w:link w:val="Heading8Char"/>
    <w:uiPriority w:val="2"/>
    <w:unhideWhenUsed/>
    <w:qFormat/>
    <w:rsid w:val="004C72A0"/>
    <w:pPr>
      <w:numPr>
        <w:ilvl w:val="7"/>
        <w:numId w:val="1"/>
      </w:numPr>
      <w:spacing w:before="120" w:after="0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val="sq-AL"/>
    </w:rPr>
  </w:style>
  <w:style w:type="paragraph" w:styleId="Heading9">
    <w:name w:val="heading 9"/>
    <w:aliases w:val="level3(i)"/>
    <w:basedOn w:val="Normal"/>
    <w:next w:val="Normal"/>
    <w:link w:val="Heading9Char"/>
    <w:uiPriority w:val="2"/>
    <w:unhideWhenUsed/>
    <w:qFormat/>
    <w:rsid w:val="004C72A0"/>
    <w:pPr>
      <w:numPr>
        <w:ilvl w:val="8"/>
        <w:numId w:val="1"/>
      </w:numPr>
      <w:spacing w:before="120" w:after="0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LDK Char,Επικεφαλίδα 1 Char Char,Headline Char,ELI PD H1 Char,Hoofdstuk Char,ΔΞ-Άρθρο Char,ÄÎ-¢ñèñï Char,Heading 1 Char1 Char Char,Heading 1 Char Char Char Char,EX Heading 1 Char,Exr Heading 1 Char,Exergia Heading 1 Char"/>
    <w:basedOn w:val="DefaultParagraphFont"/>
    <w:link w:val="Heading1"/>
    <w:uiPriority w:val="2"/>
    <w:rsid w:val="004C72A0"/>
    <w:rPr>
      <w:rFonts w:ascii="Times New Roman" w:eastAsiaTheme="majorEastAsia" w:hAnsi="Times New Roman" w:cstheme="majorBidi"/>
      <w:b/>
      <w:bCs/>
      <w:sz w:val="28"/>
      <w:szCs w:val="28"/>
      <w:lang w:val="sq-AL"/>
    </w:rPr>
  </w:style>
  <w:style w:type="character" w:customStyle="1" w:styleId="Heading2Char">
    <w:name w:val="Heading 2 Char"/>
    <w:aliases w:val="Heading 2 - LDK Char,ELI PD H2 Char,Overskrift 2- ref Char,EX Heading 2 Char,Exr Heading 2 Char,Exergia Heading 2 Char,Subchapter 1.1 Char,Chapter Indo Char,Major Char,título 2 Char,título 21 Char,título 22 Char,título 23 Char,2 Char"/>
    <w:basedOn w:val="DefaultParagraphFont"/>
    <w:link w:val="Heading2"/>
    <w:uiPriority w:val="9"/>
    <w:rsid w:val="004C72A0"/>
    <w:rPr>
      <w:rFonts w:ascii="Times New Roman" w:eastAsiaTheme="majorEastAsia" w:hAnsi="Times New Roman" w:cstheme="majorBidi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2"/>
    <w:rsid w:val="004C72A0"/>
    <w:rPr>
      <w:rFonts w:asciiTheme="majorHAnsi" w:eastAsiaTheme="majorEastAsia" w:hAnsiTheme="majorHAnsi" w:cstheme="majorBidi"/>
      <w:bCs/>
      <w:iCs/>
      <w:sz w:val="24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4C72A0"/>
    <w:rPr>
      <w:rFonts w:asciiTheme="majorHAnsi" w:eastAsiaTheme="majorEastAsia" w:hAnsiTheme="majorHAnsi" w:cstheme="majorBidi"/>
      <w:b/>
      <w:bCs/>
      <w:color w:val="7F7F7F" w:themeColor="text1" w:themeTint="80"/>
      <w:sz w:val="24"/>
      <w:lang w:val="sq-AL"/>
    </w:rPr>
  </w:style>
  <w:style w:type="character" w:customStyle="1" w:styleId="Heading6Char">
    <w:name w:val="Heading 6 Char"/>
    <w:aliases w:val="level6 Char,level 6 Char"/>
    <w:basedOn w:val="DefaultParagraphFont"/>
    <w:link w:val="Heading6"/>
    <w:rsid w:val="004C72A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sq-AL"/>
    </w:rPr>
  </w:style>
  <w:style w:type="character" w:customStyle="1" w:styleId="Heading7Char">
    <w:name w:val="Heading 7 Char"/>
    <w:aliases w:val="level1noheading Char,level1-noHeading Char"/>
    <w:basedOn w:val="DefaultParagraphFont"/>
    <w:link w:val="Heading7"/>
    <w:uiPriority w:val="2"/>
    <w:rsid w:val="004C72A0"/>
    <w:rPr>
      <w:rFonts w:asciiTheme="majorHAnsi" w:eastAsiaTheme="majorEastAsia" w:hAnsiTheme="majorHAnsi" w:cstheme="majorBidi"/>
      <w:i/>
      <w:iCs/>
      <w:sz w:val="24"/>
      <w:lang w:val="sq-AL"/>
    </w:rPr>
  </w:style>
  <w:style w:type="character" w:customStyle="1" w:styleId="Heading8Char">
    <w:name w:val="Heading 8 Char"/>
    <w:aliases w:val="level2(a) Char"/>
    <w:basedOn w:val="DefaultParagraphFont"/>
    <w:link w:val="Heading8"/>
    <w:uiPriority w:val="2"/>
    <w:rsid w:val="004C72A0"/>
    <w:rPr>
      <w:rFonts w:asciiTheme="majorHAnsi" w:eastAsiaTheme="majorEastAsia" w:hAnsiTheme="majorHAnsi" w:cstheme="majorBidi"/>
      <w:sz w:val="20"/>
      <w:szCs w:val="20"/>
      <w:lang w:val="sq-AL"/>
    </w:rPr>
  </w:style>
  <w:style w:type="character" w:customStyle="1" w:styleId="Heading9Char">
    <w:name w:val="Heading 9 Char"/>
    <w:aliases w:val="level3(i) Char"/>
    <w:basedOn w:val="DefaultParagraphFont"/>
    <w:link w:val="Heading9"/>
    <w:uiPriority w:val="2"/>
    <w:rsid w:val="004C72A0"/>
    <w:rPr>
      <w:rFonts w:asciiTheme="majorHAnsi" w:eastAsiaTheme="majorEastAsia" w:hAnsiTheme="majorHAnsi" w:cstheme="majorBidi"/>
      <w:i/>
      <w:iCs/>
      <w:spacing w:val="5"/>
      <w:sz w:val="20"/>
      <w:szCs w:val="20"/>
      <w:lang w:val="sq-AL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4C72A0"/>
    <w:pPr>
      <w:spacing w:before="120" w:after="240"/>
      <w:ind w:left="720"/>
      <w:contextualSpacing/>
      <w:jc w:val="both"/>
    </w:pPr>
    <w:rPr>
      <w:rFonts w:ascii="Times New Roman" w:hAnsi="Times New Roman"/>
      <w:sz w:val="24"/>
      <w:lang w:val="sq-AL"/>
    </w:rPr>
  </w:style>
  <w:style w:type="paragraph" w:customStyle="1" w:styleId="LDKbody">
    <w:name w:val="LDK body"/>
    <w:basedOn w:val="Normal"/>
    <w:link w:val="LDKbodyChar"/>
    <w:qFormat/>
    <w:rsid w:val="004C72A0"/>
    <w:pPr>
      <w:spacing w:before="120" w:after="240"/>
      <w:jc w:val="both"/>
    </w:pPr>
    <w:rPr>
      <w:rFonts w:ascii="Times New Roman" w:eastAsia="Times New Roman" w:hAnsi="Times New Roman" w:cs="Times New Roman"/>
      <w:spacing w:val="2"/>
      <w:sz w:val="24"/>
      <w:szCs w:val="20"/>
      <w:lang w:eastAsia="el-GR" w:bidi="ar-QA"/>
    </w:rPr>
  </w:style>
  <w:style w:type="character" w:customStyle="1" w:styleId="LDKbodyChar">
    <w:name w:val="LDK body Char"/>
    <w:link w:val="LDKbody"/>
    <w:rsid w:val="004C72A0"/>
    <w:rPr>
      <w:rFonts w:ascii="Times New Roman" w:eastAsia="Times New Roman" w:hAnsi="Times New Roman" w:cs="Times New Roman"/>
      <w:spacing w:val="2"/>
      <w:sz w:val="24"/>
      <w:szCs w:val="20"/>
      <w:lang w:eastAsia="el-GR" w:bidi="ar-QA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rsid w:val="004C72A0"/>
    <w:rPr>
      <w:rFonts w:ascii="Times New Roman" w:hAnsi="Times New Roman"/>
      <w:sz w:val="24"/>
      <w:lang w:val="sq-AL"/>
    </w:rPr>
  </w:style>
  <w:style w:type="character" w:customStyle="1" w:styleId="tlid-translation">
    <w:name w:val="tlid-translation"/>
    <w:basedOn w:val="DefaultParagraphFont"/>
    <w:rsid w:val="004C72A0"/>
  </w:style>
  <w:style w:type="paragraph" w:customStyle="1" w:styleId="Style1">
    <w:name w:val="Style1"/>
    <w:basedOn w:val="Heading1"/>
    <w:link w:val="Style1Char"/>
    <w:qFormat/>
    <w:rsid w:val="004C72A0"/>
    <w:pPr>
      <w:keepNext/>
      <w:keepLines/>
      <w:numPr>
        <w:ilvl w:val="4"/>
        <w:numId w:val="2"/>
      </w:numPr>
      <w:spacing w:before="0" w:after="251" w:line="265" w:lineRule="auto"/>
      <w:ind w:left="2694" w:right="27"/>
      <w:contextualSpacing w:val="0"/>
    </w:pPr>
    <w:rPr>
      <w:szCs w:val="20"/>
    </w:rPr>
  </w:style>
  <w:style w:type="character" w:customStyle="1" w:styleId="Style1Char">
    <w:name w:val="Style1 Char"/>
    <w:basedOn w:val="Heading1Char"/>
    <w:link w:val="Style1"/>
    <w:rsid w:val="004C72A0"/>
    <w:rPr>
      <w:rFonts w:ascii="Times New Roman" w:eastAsiaTheme="majorEastAsia" w:hAnsi="Times New Roman" w:cstheme="majorBidi"/>
      <w:b/>
      <w:bCs/>
      <w:sz w:val="28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1CEA-2D86-455D-B5D2-61F402A5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Klaudja Karaj</cp:lastModifiedBy>
  <cp:revision>1</cp:revision>
  <cp:lastPrinted>2019-04-26T10:10:00Z</cp:lastPrinted>
  <dcterms:created xsi:type="dcterms:W3CDTF">2020-10-13T07:03:00Z</dcterms:created>
  <dcterms:modified xsi:type="dcterms:W3CDTF">2020-10-13T07:03:00Z</dcterms:modified>
</cp:coreProperties>
</file>