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45E" w:rsidRPr="004B445E" w:rsidRDefault="004B445E" w:rsidP="004B445E">
      <w:pPr>
        <w:spacing w:after="322" w:line="259" w:lineRule="auto"/>
        <w:ind w:right="56"/>
        <w:jc w:val="center"/>
        <w:rPr>
          <w:rFonts w:ascii="Times New Roman" w:hAnsi="Times New Roman" w:cs="Times New Roman"/>
          <w:b/>
          <w:sz w:val="24"/>
          <w:szCs w:val="24"/>
          <w:lang w:val="sq-AL"/>
        </w:rPr>
      </w:pPr>
      <w:bookmarkStart w:id="0" w:name="_GoBack"/>
      <w:r w:rsidRPr="004B445E">
        <w:rPr>
          <w:rFonts w:ascii="Times New Roman" w:hAnsi="Times New Roman" w:cs="Times New Roman"/>
          <w:b/>
          <w:sz w:val="24"/>
          <w:szCs w:val="24"/>
          <w:lang w:val="sq-AL"/>
        </w:rPr>
        <w:t>Marrëveshja e Palës Përgjegjëse Balancuese</w:t>
      </w:r>
    </w:p>
    <w:bookmarkEnd w:id="0"/>
    <w:p w:rsidR="004B445E" w:rsidRPr="004B445E" w:rsidRDefault="004B445E" w:rsidP="004B445E">
      <w:pPr>
        <w:spacing w:after="941" w:line="259" w:lineRule="auto"/>
        <w:jc w:val="center"/>
        <w:rPr>
          <w:rFonts w:ascii="Times New Roman" w:hAnsi="Times New Roman" w:cs="Times New Roman"/>
          <w:sz w:val="24"/>
          <w:szCs w:val="24"/>
          <w:lang w:val="sq-AL"/>
        </w:rPr>
      </w:pPr>
      <w:r w:rsidRPr="004B445E">
        <w:rPr>
          <w:rFonts w:ascii="Times New Roman" w:hAnsi="Times New Roman" w:cs="Times New Roman"/>
          <w:sz w:val="24"/>
          <w:szCs w:val="24"/>
          <w:lang w:val="sq-AL"/>
        </w:rPr>
        <w:t>Nr. ................/...........................</w:t>
      </w:r>
    </w:p>
    <w:p w:rsidR="004B445E" w:rsidRPr="004B445E" w:rsidRDefault="004B445E" w:rsidP="004B445E">
      <w:pPr>
        <w:spacing w:after="231"/>
        <w:ind w:left="-15"/>
        <w:jc w:val="both"/>
        <w:rPr>
          <w:rFonts w:ascii="Times New Roman" w:hAnsi="Times New Roman" w:cs="Times New Roman"/>
          <w:sz w:val="24"/>
          <w:szCs w:val="24"/>
          <w:lang w:val="sq-AL"/>
        </w:rPr>
      </w:pPr>
      <w:r w:rsidRPr="004B445E">
        <w:rPr>
          <w:rFonts w:ascii="Times New Roman" w:eastAsia="Times New Roman" w:hAnsi="Times New Roman" w:cs="Times New Roman"/>
          <w:sz w:val="24"/>
          <w:szCs w:val="24"/>
          <w:lang w:val="sq-AL"/>
        </w:rPr>
        <w:t xml:space="preserve">Sot më,............2019 në Tiranë, </w:t>
      </w:r>
      <w:r>
        <w:rPr>
          <w:rFonts w:ascii="Times New Roman" w:eastAsia="Times New Roman" w:hAnsi="Times New Roman" w:cs="Times New Roman"/>
          <w:sz w:val="24"/>
          <w:szCs w:val="24"/>
          <w:lang w:val="sq-AL"/>
        </w:rPr>
        <w:t>n</w:t>
      </w:r>
      <w:r w:rsidRPr="004B445E">
        <w:rPr>
          <w:rFonts w:ascii="Times New Roman" w:eastAsia="Times New Roman" w:hAnsi="Times New Roman" w:cs="Times New Roman"/>
          <w:sz w:val="24"/>
          <w:szCs w:val="24"/>
          <w:lang w:val="sq-AL"/>
        </w:rPr>
        <w:t>ënshkruar midis Palëve:</w:t>
      </w:r>
    </w:p>
    <w:p w:rsidR="004B445E" w:rsidRPr="004B445E" w:rsidRDefault="004B445E" w:rsidP="004B445E">
      <w:pPr>
        <w:pStyle w:val="ListParagraph"/>
        <w:numPr>
          <w:ilvl w:val="0"/>
          <w:numId w:val="8"/>
        </w:numPr>
        <w:spacing w:before="0" w:after="232" w:line="250" w:lineRule="auto"/>
        <w:rPr>
          <w:rFonts w:cs="Times New Roman"/>
          <w:szCs w:val="24"/>
        </w:rPr>
      </w:pPr>
      <w:r w:rsidRPr="004B445E">
        <w:rPr>
          <w:rFonts w:eastAsia="Times New Roman" w:cs="Times New Roman"/>
          <w:szCs w:val="24"/>
        </w:rPr>
        <w:t xml:space="preserve">Operatori i Sistemit të Transmetimit OST sh.a., një </w:t>
      </w:r>
      <w:r>
        <w:rPr>
          <w:rFonts w:eastAsia="Times New Roman" w:cs="Times New Roman"/>
          <w:szCs w:val="24"/>
        </w:rPr>
        <w:t>shoqëri</w:t>
      </w:r>
      <w:r w:rsidRPr="004B445E">
        <w:rPr>
          <w:rFonts w:eastAsia="Times New Roman" w:cs="Times New Roman"/>
          <w:szCs w:val="24"/>
        </w:rPr>
        <w:t xml:space="preserve"> e regjistruar në [</w:t>
      </w:r>
      <w:r w:rsidRPr="004B445E">
        <w:rPr>
          <w:rFonts w:eastAsia="Times New Roman" w:cs="Times New Roman"/>
          <w:b/>
          <w:szCs w:val="24"/>
        </w:rPr>
        <w:t>Adresa</w:t>
      </w:r>
      <w:r w:rsidRPr="004B445E">
        <w:rPr>
          <w:rFonts w:eastAsia="Times New Roman" w:cs="Times New Roman"/>
          <w:szCs w:val="24"/>
        </w:rPr>
        <w:t>], me NIPT [numrin e regjistrimit] dhe i licencuar për operimin</w:t>
      </w:r>
      <w:r>
        <w:rPr>
          <w:rFonts w:eastAsia="Times New Roman" w:cs="Times New Roman"/>
          <w:szCs w:val="24"/>
        </w:rPr>
        <w:t xml:space="preserve"> </w:t>
      </w:r>
      <w:r w:rsidRPr="004B445E">
        <w:rPr>
          <w:rFonts w:eastAsia="Times New Roman" w:cs="Times New Roman"/>
          <w:szCs w:val="24"/>
        </w:rPr>
        <w:t>e sistemit të transmetimit me licencën nr. [</w:t>
      </w:r>
      <w:r w:rsidRPr="004B445E">
        <w:rPr>
          <w:rFonts w:eastAsia="Times New Roman" w:cs="Times New Roman"/>
          <w:b/>
          <w:szCs w:val="24"/>
        </w:rPr>
        <w:t>numrin e licencës</w:t>
      </w:r>
      <w:r w:rsidRPr="004B445E">
        <w:rPr>
          <w:rFonts w:eastAsia="Times New Roman" w:cs="Times New Roman"/>
          <w:szCs w:val="24"/>
        </w:rPr>
        <w:t>] përfaqësuar nga ___________________ - Administratori, në vijim i referuar si OST;</w:t>
      </w:r>
    </w:p>
    <w:p w:rsidR="004B445E" w:rsidRPr="004B445E" w:rsidRDefault="004B445E" w:rsidP="004B445E">
      <w:pPr>
        <w:spacing w:after="231"/>
        <w:ind w:left="-15"/>
        <w:jc w:val="both"/>
        <w:rPr>
          <w:rFonts w:ascii="Times New Roman" w:hAnsi="Times New Roman" w:cs="Times New Roman"/>
          <w:sz w:val="24"/>
          <w:szCs w:val="24"/>
          <w:lang w:val="sq-AL"/>
        </w:rPr>
      </w:pPr>
      <w:r w:rsidRPr="004B445E">
        <w:rPr>
          <w:rFonts w:ascii="Times New Roman" w:hAnsi="Times New Roman" w:cs="Times New Roman"/>
          <w:sz w:val="24"/>
          <w:szCs w:val="24"/>
          <w:lang w:val="sq-AL"/>
        </w:rPr>
        <w:t>D</w:t>
      </w:r>
      <w:r w:rsidRPr="004B445E">
        <w:rPr>
          <w:rFonts w:ascii="Times New Roman" w:eastAsia="Times New Roman" w:hAnsi="Times New Roman" w:cs="Times New Roman"/>
          <w:sz w:val="24"/>
          <w:szCs w:val="24"/>
          <w:lang w:val="sq-AL"/>
        </w:rPr>
        <w:t>he</w:t>
      </w:r>
    </w:p>
    <w:p w:rsidR="004B445E" w:rsidRPr="004B445E" w:rsidRDefault="004B445E" w:rsidP="004B445E">
      <w:pPr>
        <w:pStyle w:val="ListParagraph"/>
        <w:numPr>
          <w:ilvl w:val="0"/>
          <w:numId w:val="8"/>
        </w:numPr>
        <w:spacing w:before="0" w:after="734" w:line="250" w:lineRule="auto"/>
        <w:rPr>
          <w:rFonts w:cs="Times New Roman"/>
          <w:szCs w:val="24"/>
        </w:rPr>
      </w:pPr>
      <w:r w:rsidRPr="004B445E">
        <w:rPr>
          <w:rFonts w:eastAsia="Times New Roman" w:cs="Times New Roman"/>
          <w:szCs w:val="24"/>
        </w:rPr>
        <w:t>[</w:t>
      </w:r>
      <w:r w:rsidRPr="004B445E">
        <w:rPr>
          <w:rFonts w:eastAsia="Times New Roman" w:cs="Times New Roman"/>
          <w:b/>
          <w:szCs w:val="24"/>
        </w:rPr>
        <w:t xml:space="preserve">emri i </w:t>
      </w:r>
      <w:r>
        <w:rPr>
          <w:rFonts w:eastAsia="Times New Roman" w:cs="Times New Roman"/>
          <w:b/>
          <w:szCs w:val="24"/>
        </w:rPr>
        <w:t>shoqëri</w:t>
      </w:r>
      <w:r w:rsidRPr="004B445E">
        <w:rPr>
          <w:rFonts w:eastAsia="Times New Roman" w:cs="Times New Roman"/>
          <w:b/>
          <w:szCs w:val="24"/>
        </w:rPr>
        <w:t xml:space="preserve"> PPB</w:t>
      </w:r>
      <w:r w:rsidRPr="004B445E">
        <w:rPr>
          <w:rFonts w:eastAsia="Times New Roman" w:cs="Times New Roman"/>
          <w:szCs w:val="24"/>
        </w:rPr>
        <w:t xml:space="preserve">], një </w:t>
      </w:r>
      <w:r>
        <w:rPr>
          <w:rFonts w:eastAsia="Times New Roman" w:cs="Times New Roman"/>
          <w:szCs w:val="24"/>
        </w:rPr>
        <w:t xml:space="preserve">shoqëri </w:t>
      </w:r>
      <w:r w:rsidRPr="004B445E">
        <w:rPr>
          <w:rFonts w:eastAsia="Times New Roman" w:cs="Times New Roman"/>
          <w:szCs w:val="24"/>
        </w:rPr>
        <w:t>e organizuar dhe ekzistuese sipas ligjeve të [</w:t>
      </w:r>
      <w:r w:rsidRPr="004B445E">
        <w:rPr>
          <w:rFonts w:eastAsia="Times New Roman" w:cs="Times New Roman"/>
          <w:b/>
          <w:szCs w:val="24"/>
        </w:rPr>
        <w:t>Shteti</w:t>
      </w:r>
      <w:r w:rsidRPr="004B445E">
        <w:rPr>
          <w:rFonts w:eastAsia="Times New Roman" w:cs="Times New Roman"/>
          <w:szCs w:val="24"/>
        </w:rPr>
        <w:t>], me zyrën e saj të regjistruar në [</w:t>
      </w:r>
      <w:r w:rsidRPr="004B445E">
        <w:rPr>
          <w:rFonts w:eastAsia="Times New Roman" w:cs="Times New Roman"/>
          <w:b/>
          <w:szCs w:val="24"/>
        </w:rPr>
        <w:t>Adresa, Qyteti, Shteti</w:t>
      </w:r>
      <w:r w:rsidRPr="004B445E">
        <w:rPr>
          <w:rFonts w:eastAsia="Times New Roman" w:cs="Times New Roman"/>
          <w:szCs w:val="24"/>
        </w:rPr>
        <w:t>] dhe e regjistruar në regjistrin tregtar [</w:t>
      </w:r>
      <w:r w:rsidRPr="004B445E">
        <w:rPr>
          <w:rFonts w:eastAsia="Times New Roman" w:cs="Times New Roman"/>
          <w:b/>
          <w:szCs w:val="24"/>
        </w:rPr>
        <w:t>Qyteti</w:t>
      </w:r>
      <w:r w:rsidRPr="004B445E">
        <w:rPr>
          <w:rFonts w:eastAsia="Times New Roman" w:cs="Times New Roman"/>
          <w:szCs w:val="24"/>
        </w:rPr>
        <w:t>] me numrin [</w:t>
      </w:r>
      <w:r w:rsidRPr="004B445E">
        <w:rPr>
          <w:rFonts w:eastAsia="Times New Roman" w:cs="Times New Roman"/>
          <w:b/>
          <w:szCs w:val="24"/>
        </w:rPr>
        <w:t>numri i regjistrimit</w:t>
      </w:r>
      <w:r w:rsidRPr="004B445E">
        <w:rPr>
          <w:rFonts w:eastAsia="Times New Roman" w:cs="Times New Roman"/>
          <w:szCs w:val="24"/>
        </w:rPr>
        <w:t>] dhe numër të TVSH-së [</w:t>
      </w:r>
      <w:r w:rsidRPr="004B445E">
        <w:rPr>
          <w:rFonts w:eastAsia="Times New Roman" w:cs="Times New Roman"/>
          <w:b/>
          <w:szCs w:val="24"/>
        </w:rPr>
        <w:t>numrin ID të TVSH-së</w:t>
      </w:r>
      <w:r w:rsidRPr="004B445E">
        <w:rPr>
          <w:rFonts w:eastAsia="Times New Roman" w:cs="Times New Roman"/>
          <w:szCs w:val="24"/>
        </w:rPr>
        <w:t>] përfaqësuar nga .....................................................Administratori, referuar në vijim si Pala Përgjegjëse Balancuese ("PPB");</w:t>
      </w:r>
    </w:p>
    <w:p w:rsidR="004B445E" w:rsidRPr="004B445E" w:rsidRDefault="004B445E" w:rsidP="004B445E">
      <w:pPr>
        <w:pStyle w:val="Heading1"/>
        <w:keepNext/>
        <w:keepLines/>
        <w:numPr>
          <w:ilvl w:val="2"/>
          <w:numId w:val="3"/>
        </w:numPr>
        <w:spacing w:before="0" w:after="251" w:line="265" w:lineRule="auto"/>
        <w:ind w:right="191"/>
        <w:contextualSpacing w:val="0"/>
        <w:jc w:val="center"/>
        <w:rPr>
          <w:rFonts w:cs="Times New Roman"/>
          <w:sz w:val="24"/>
          <w:szCs w:val="24"/>
        </w:rPr>
      </w:pPr>
      <w:bookmarkStart w:id="1" w:name="_Toc2767058"/>
      <w:r w:rsidRPr="004B445E">
        <w:rPr>
          <w:rFonts w:eastAsia="Times New Roman" w:cs="Times New Roman"/>
          <w:sz w:val="24"/>
          <w:szCs w:val="24"/>
        </w:rPr>
        <w:t>KUSHTET E PËRGJITHSHME</w:t>
      </w:r>
      <w:bookmarkEnd w:id="1"/>
    </w:p>
    <w:p w:rsidR="004B445E" w:rsidRPr="004B445E" w:rsidRDefault="004B445E" w:rsidP="004B445E">
      <w:pPr>
        <w:pStyle w:val="LDKbody"/>
        <w:numPr>
          <w:ilvl w:val="0"/>
          <w:numId w:val="11"/>
        </w:numPr>
        <w:rPr>
          <w:szCs w:val="24"/>
          <w:lang w:val="sq-AL"/>
        </w:rPr>
      </w:pPr>
      <w:r w:rsidRPr="004B445E">
        <w:rPr>
          <w:szCs w:val="24"/>
          <w:lang w:val="sq-AL"/>
        </w:rPr>
        <w:t>OST si mbajtës i licencës për operimin e sistemit të transmetimit të energjisë elektrike, në cilësinë e Operatorit të Sistemit të Transmetimit të Energjisë, organizon tregun balancues për energjinë elektrike.</w:t>
      </w:r>
    </w:p>
    <w:p w:rsidR="004B445E" w:rsidRPr="004B445E" w:rsidRDefault="004B445E" w:rsidP="004B445E">
      <w:pPr>
        <w:pStyle w:val="LDKbody"/>
        <w:numPr>
          <w:ilvl w:val="0"/>
          <w:numId w:val="11"/>
        </w:numPr>
        <w:rPr>
          <w:szCs w:val="24"/>
          <w:lang w:val="sq-AL"/>
        </w:rPr>
      </w:pPr>
      <w:r w:rsidRPr="004B445E">
        <w:rPr>
          <w:szCs w:val="24"/>
          <w:lang w:val="sq-AL"/>
        </w:rPr>
        <w:t>Me nënshkrimin e kësaj Marrëveshjeje të Palës Përgjegjëse Balancuese (në vijim referuar si Marrëveshja) PPB siguron të drejtën për të kryer transaksione në tregun e balancimit të energjisë elektrike, të cilat do të jenë objekt i faturimit dhe pagesave.</w:t>
      </w:r>
    </w:p>
    <w:p w:rsidR="004B445E" w:rsidRPr="004B445E" w:rsidRDefault="004B445E" w:rsidP="004B445E">
      <w:pPr>
        <w:pStyle w:val="LDKbody"/>
        <w:numPr>
          <w:ilvl w:val="0"/>
          <w:numId w:val="11"/>
        </w:numPr>
        <w:rPr>
          <w:szCs w:val="24"/>
          <w:lang w:val="sq-AL"/>
        </w:rPr>
      </w:pPr>
      <w:r w:rsidRPr="004B445E">
        <w:rPr>
          <w:szCs w:val="24"/>
          <w:lang w:val="sq-AL"/>
        </w:rPr>
        <w:t>Të drejtat dhe detyrimet e PPB, duke iu referuar pjesëmarrjes së saj në Tregun Shqiptar të Balancimit, janë parashikuar në këtë Marrëveshje, në Rregullat e Tregut Shqiptar të Balancimit dhe në të gjitha shtojcat e saj, si dhe në legjislacionin përkatës në fuqi dhe vendimet e ERE-s.</w:t>
      </w:r>
    </w:p>
    <w:p w:rsidR="004B445E" w:rsidRPr="004B445E" w:rsidRDefault="004B445E" w:rsidP="004B445E">
      <w:pPr>
        <w:pStyle w:val="LDKbody"/>
        <w:numPr>
          <w:ilvl w:val="0"/>
          <w:numId w:val="11"/>
        </w:numPr>
        <w:rPr>
          <w:szCs w:val="24"/>
          <w:lang w:val="sq-AL"/>
        </w:rPr>
      </w:pPr>
      <w:r w:rsidRPr="004B445E">
        <w:rPr>
          <w:szCs w:val="24"/>
          <w:lang w:val="sq-AL"/>
        </w:rPr>
        <w:t>PPB në vijim pranon të jetë e lidhur nga kjo Marrëveshje që konsiderohet si pjesë e Rregullave të Tregut Shqiptar të Balancimit.</w:t>
      </w:r>
    </w:p>
    <w:p w:rsidR="004B445E" w:rsidRPr="004B445E" w:rsidRDefault="004B445E" w:rsidP="004B445E">
      <w:pPr>
        <w:pStyle w:val="LDKbody"/>
        <w:ind w:left="360"/>
        <w:rPr>
          <w:szCs w:val="24"/>
          <w:lang w:val="sq-AL"/>
        </w:rPr>
      </w:pPr>
    </w:p>
    <w:p w:rsidR="004B445E" w:rsidRPr="004B445E" w:rsidRDefault="004B445E" w:rsidP="004B445E">
      <w:pPr>
        <w:pStyle w:val="Heading1"/>
        <w:keepNext/>
        <w:keepLines/>
        <w:numPr>
          <w:ilvl w:val="2"/>
          <w:numId w:val="3"/>
        </w:numPr>
        <w:spacing w:before="0" w:after="251" w:line="265" w:lineRule="auto"/>
        <w:ind w:right="191"/>
        <w:contextualSpacing w:val="0"/>
        <w:jc w:val="center"/>
        <w:rPr>
          <w:rFonts w:cs="Times New Roman"/>
          <w:sz w:val="24"/>
          <w:szCs w:val="24"/>
        </w:rPr>
      </w:pPr>
      <w:bookmarkStart w:id="2" w:name="_Toc2767059"/>
      <w:bookmarkStart w:id="3" w:name="_Toc2767060"/>
      <w:bookmarkStart w:id="4" w:name="_Toc2767061"/>
      <w:bookmarkEnd w:id="2"/>
      <w:bookmarkEnd w:id="3"/>
      <w:r w:rsidRPr="004B445E">
        <w:rPr>
          <w:rStyle w:val="tlid-translation"/>
          <w:rFonts w:cs="Times New Roman"/>
          <w:sz w:val="24"/>
          <w:szCs w:val="24"/>
        </w:rPr>
        <w:lastRenderedPageBreak/>
        <w:t>TERMAT DHE KUSHTET E MARRËVESHJES</w:t>
      </w:r>
      <w:bookmarkEnd w:id="4"/>
    </w:p>
    <w:p w:rsidR="004B445E" w:rsidRPr="004B445E" w:rsidRDefault="004B445E" w:rsidP="004B445E">
      <w:pPr>
        <w:pStyle w:val="LDKbody"/>
        <w:numPr>
          <w:ilvl w:val="0"/>
          <w:numId w:val="11"/>
        </w:numPr>
        <w:rPr>
          <w:szCs w:val="24"/>
          <w:lang w:val="sq-AL"/>
        </w:rPr>
      </w:pPr>
      <w:r w:rsidRPr="004B445E">
        <w:rPr>
          <w:lang w:val="sq-AL"/>
        </w:rPr>
        <w:t xml:space="preserve">Me nënshkrimin e kësaj Marrëveshjeje, PPB bie dakord të </w:t>
      </w:r>
      <w:r w:rsidRPr="000A629A">
        <w:rPr>
          <w:lang w:val="sq-AL"/>
        </w:rPr>
        <w:t>përshtatë</w:t>
      </w:r>
      <w:r w:rsidRPr="004B445E">
        <w:rPr>
          <w:lang w:val="sq-AL"/>
        </w:rPr>
        <w:t xml:space="preserve"> aktivitetet e saj me kushtet dhe kërkesat e përcaktuara në Rregullat e Tregut Shqiptar të Balancimit. Në rast të konfliktit midis Rregullave të Tregut Shqiptar të Balancimit dhe Marrëveshjes, do të </w:t>
      </w:r>
      <w:r w:rsidRPr="000A629A">
        <w:rPr>
          <w:lang w:val="sq-AL"/>
        </w:rPr>
        <w:t xml:space="preserve">mbizotërojnë </w:t>
      </w:r>
      <w:r w:rsidRPr="004B445E">
        <w:rPr>
          <w:lang w:val="sq-AL"/>
        </w:rPr>
        <w:t xml:space="preserve"> Rregullat e Tregut Shqiptar të Balancimit.</w:t>
      </w:r>
    </w:p>
    <w:p w:rsidR="004B445E" w:rsidRPr="004B445E" w:rsidRDefault="004B445E" w:rsidP="004B445E">
      <w:pPr>
        <w:pStyle w:val="LDKbody"/>
        <w:numPr>
          <w:ilvl w:val="0"/>
          <w:numId w:val="11"/>
        </w:numPr>
        <w:rPr>
          <w:lang w:val="sq-AL"/>
        </w:rPr>
      </w:pPr>
      <w:r w:rsidRPr="004B445E">
        <w:rPr>
          <w:lang w:val="sq-AL"/>
        </w:rPr>
        <w:t>PPB pranon që Rregullat e Tregut Shqiptar të Balancimit kontrollohen dhe miratohen nga ERE dhe se</w:t>
      </w:r>
      <w:r w:rsidRPr="000A629A">
        <w:rPr>
          <w:lang w:val="sq-AL"/>
        </w:rPr>
        <w:t xml:space="preserve"> </w:t>
      </w:r>
      <w:r w:rsidRPr="004B445E">
        <w:rPr>
          <w:lang w:val="sq-AL"/>
        </w:rPr>
        <w:t>ERE do të ketë të drejtën të imponojë dispozitat e këtyre rregullave mbi  PPB, siç parashikohet në to.</w:t>
      </w:r>
    </w:p>
    <w:p w:rsidR="004B445E" w:rsidRPr="004B445E" w:rsidRDefault="004B445E" w:rsidP="007F3BEB">
      <w:pPr>
        <w:pStyle w:val="Heading1"/>
        <w:keepNext/>
        <w:keepLines/>
        <w:numPr>
          <w:ilvl w:val="2"/>
          <w:numId w:val="3"/>
        </w:numPr>
        <w:spacing w:before="0" w:after="251" w:line="265" w:lineRule="auto"/>
        <w:ind w:right="191"/>
        <w:contextualSpacing w:val="0"/>
        <w:jc w:val="center"/>
        <w:rPr>
          <w:rFonts w:cs="Times New Roman"/>
          <w:sz w:val="24"/>
          <w:szCs w:val="24"/>
        </w:rPr>
      </w:pPr>
      <w:bookmarkStart w:id="5" w:name="_Toc2767062"/>
      <w:r w:rsidRPr="004B445E">
        <w:rPr>
          <w:rStyle w:val="tlid-translation"/>
          <w:rFonts w:cs="Times New Roman"/>
          <w:sz w:val="24"/>
          <w:szCs w:val="24"/>
        </w:rPr>
        <w:t>MBIKËQYRJA NGA OST, PEZULLIMI</w:t>
      </w:r>
      <w:bookmarkEnd w:id="5"/>
    </w:p>
    <w:p w:rsidR="004B445E" w:rsidRPr="004B445E" w:rsidRDefault="004B445E" w:rsidP="004B445E">
      <w:pPr>
        <w:pStyle w:val="LDKbody"/>
        <w:numPr>
          <w:ilvl w:val="0"/>
          <w:numId w:val="11"/>
        </w:numPr>
        <w:rPr>
          <w:lang w:val="sq-AL"/>
        </w:rPr>
      </w:pPr>
      <w:r w:rsidRPr="004B445E">
        <w:rPr>
          <w:lang w:val="sq-AL"/>
        </w:rPr>
        <w:t>Nëse gjatë zbatimit të Marrëveshjes, PPB nuk i përmbush më kushtet për të vazhduar të jetë PPB, OST do të njoftojë PPB përmes një shkrese zyrtare për pa-pajtueshmërinë.</w:t>
      </w:r>
    </w:p>
    <w:p w:rsidR="004B445E" w:rsidRPr="004B445E" w:rsidRDefault="004B445E" w:rsidP="004B445E">
      <w:pPr>
        <w:pStyle w:val="LDKbody"/>
        <w:numPr>
          <w:ilvl w:val="0"/>
          <w:numId w:val="11"/>
        </w:numPr>
        <w:rPr>
          <w:lang w:val="sq-AL"/>
        </w:rPr>
      </w:pPr>
      <w:r w:rsidRPr="004B445E">
        <w:rPr>
          <w:lang w:val="sq-AL"/>
        </w:rPr>
        <w:t>Nëse PPB nuk i përgjigjet shkresës zyrtare brenda pesëmbëdhjetë (15) ditëve pas marrjes së njoftimit ose nuk merr masat përkatëse, OST mund ta pezullojë Marrëveshjen për një periudhë prej tridhjetë (30) ditësh.</w:t>
      </w:r>
    </w:p>
    <w:p w:rsidR="004B445E" w:rsidRPr="004B445E" w:rsidRDefault="004B445E" w:rsidP="004B445E">
      <w:pPr>
        <w:pStyle w:val="LDKbody"/>
        <w:numPr>
          <w:ilvl w:val="0"/>
          <w:numId w:val="11"/>
        </w:numPr>
        <w:rPr>
          <w:lang w:val="sq-AL"/>
        </w:rPr>
      </w:pPr>
      <w:r w:rsidRPr="004B445E">
        <w:rPr>
          <w:lang w:val="sq-AL"/>
        </w:rPr>
        <w:t xml:space="preserve">Pas periudhës së pezullimit, OST vlerëson përsëri pajtueshmërinë e PPB me kushtet. Nëse është rivendosur pajtueshmëria, pezullimi anulohet. Nëse jo, Marrëveshja me PPB përfundon. Kjo nënkupton që pas përfundimit të Marrëveshjes, nëse PPB dëshiron të ofrojë shërbimin, duhet të ri-aplikojë nëpërmjet </w:t>
      </w:r>
      <w:r w:rsidR="007F3BEB" w:rsidRPr="004B445E">
        <w:rPr>
          <w:lang w:val="sq-AL"/>
        </w:rPr>
        <w:t>procedurës</w:t>
      </w:r>
      <w:r w:rsidRPr="004B445E">
        <w:rPr>
          <w:lang w:val="sq-AL"/>
        </w:rPr>
        <w:t xml:space="preserve"> së parakualifikimit dhe të nënshkruajë një Marrëveshje të re me OST, në pajtim me Rregullat e TShB.</w:t>
      </w:r>
    </w:p>
    <w:p w:rsidR="004B445E" w:rsidRPr="004B445E" w:rsidRDefault="007F3BEB" w:rsidP="007F3BEB">
      <w:pPr>
        <w:pStyle w:val="Heading1"/>
        <w:keepNext/>
        <w:keepLines/>
        <w:numPr>
          <w:ilvl w:val="2"/>
          <w:numId w:val="3"/>
        </w:numPr>
        <w:spacing w:after="222" w:line="265" w:lineRule="auto"/>
        <w:ind w:right="409"/>
        <w:contextualSpacing w:val="0"/>
        <w:jc w:val="center"/>
        <w:rPr>
          <w:rFonts w:cs="Times New Roman"/>
          <w:sz w:val="24"/>
          <w:szCs w:val="24"/>
        </w:rPr>
      </w:pPr>
      <w:r>
        <w:rPr>
          <w:rStyle w:val="tlid-translation"/>
          <w:rFonts w:cs="Times New Roman"/>
          <w:sz w:val="24"/>
          <w:szCs w:val="24"/>
        </w:rPr>
        <w:t>DEKLARIME</w:t>
      </w:r>
    </w:p>
    <w:p w:rsidR="004B445E" w:rsidRPr="004B445E" w:rsidRDefault="007F3BEB" w:rsidP="004B445E">
      <w:pPr>
        <w:spacing w:after="250" w:line="259" w:lineRule="auto"/>
        <w:ind w:left="-5" w:hanging="10"/>
        <w:jc w:val="both"/>
        <w:rPr>
          <w:rFonts w:ascii="Times New Roman" w:hAnsi="Times New Roman" w:cs="Times New Roman"/>
          <w:b/>
          <w:sz w:val="24"/>
          <w:szCs w:val="24"/>
          <w:lang w:val="sq-AL"/>
        </w:rPr>
      </w:pPr>
      <w:r>
        <w:rPr>
          <w:rStyle w:val="tlid-translation"/>
          <w:rFonts w:ascii="Times New Roman" w:hAnsi="Times New Roman" w:cs="Times New Roman"/>
          <w:b/>
          <w:sz w:val="24"/>
          <w:szCs w:val="24"/>
          <w:lang w:val="sq-AL"/>
        </w:rPr>
        <w:t>Deklarime</w:t>
      </w:r>
      <w:r w:rsidR="004B445E" w:rsidRPr="004B445E">
        <w:rPr>
          <w:rStyle w:val="tlid-translation"/>
          <w:rFonts w:ascii="Times New Roman" w:hAnsi="Times New Roman" w:cs="Times New Roman"/>
          <w:b/>
          <w:sz w:val="24"/>
          <w:szCs w:val="24"/>
          <w:lang w:val="sq-AL"/>
        </w:rPr>
        <w:t xml:space="preserve"> nga PPB</w:t>
      </w:r>
    </w:p>
    <w:p w:rsidR="004B445E" w:rsidRPr="004B445E" w:rsidRDefault="004B445E" w:rsidP="004B445E">
      <w:pPr>
        <w:pStyle w:val="LDKbody"/>
        <w:numPr>
          <w:ilvl w:val="0"/>
          <w:numId w:val="11"/>
        </w:numPr>
        <w:rPr>
          <w:lang w:val="sq-AL"/>
        </w:rPr>
      </w:pPr>
      <w:r w:rsidRPr="004B445E">
        <w:rPr>
          <w:lang w:val="sq-AL"/>
        </w:rPr>
        <w:t>Me nënshkrimin e kësaj marrëveshje, PPB i garanton OST që:</w:t>
      </w:r>
    </w:p>
    <w:p w:rsidR="007F3BEB" w:rsidRPr="005B5FFE" w:rsidRDefault="007F3BEB" w:rsidP="007F3BEB">
      <w:pPr>
        <w:numPr>
          <w:ilvl w:val="1"/>
          <w:numId w:val="11"/>
        </w:numPr>
        <w:spacing w:after="139" w:line="250" w:lineRule="auto"/>
        <w:jc w:val="both"/>
        <w:rPr>
          <w:rFonts w:ascii="Times New Roman" w:hAnsi="Times New Roman" w:cs="Times New Roman"/>
          <w:sz w:val="24"/>
          <w:szCs w:val="24"/>
          <w:lang w:val="sq-AL"/>
        </w:rPr>
      </w:pPr>
      <w:r w:rsidRPr="005B5FFE">
        <w:rPr>
          <w:rStyle w:val="tlid-translation"/>
          <w:rFonts w:ascii="Times New Roman" w:hAnsi="Times New Roman" w:cs="Times New Roman"/>
          <w:sz w:val="24"/>
          <w:szCs w:val="24"/>
          <w:lang w:val="sq-AL"/>
        </w:rPr>
        <w:t>Janë ndërmarrë</w:t>
      </w:r>
      <w:r>
        <w:rPr>
          <w:rStyle w:val="tlid-translation"/>
          <w:rFonts w:ascii="Times New Roman" w:hAnsi="Times New Roman" w:cs="Times New Roman"/>
          <w:sz w:val="24"/>
          <w:szCs w:val="24"/>
          <w:lang w:val="sq-AL"/>
        </w:rPr>
        <w:t xml:space="preserve"> </w:t>
      </w:r>
      <w:r w:rsidRPr="005B5FFE">
        <w:rPr>
          <w:rStyle w:val="tlid-translation"/>
          <w:rFonts w:ascii="Times New Roman" w:hAnsi="Times New Roman" w:cs="Times New Roman"/>
          <w:sz w:val="24"/>
          <w:szCs w:val="24"/>
          <w:lang w:val="sq-AL"/>
        </w:rPr>
        <w:t>të gjitha veprimet e nevojshme për autorizimin e duhur, siç kërkohet nga Rregullat e Tregut Shqiptar të Balancimit, dhe</w:t>
      </w:r>
    </w:p>
    <w:p w:rsidR="007F3BEB" w:rsidRPr="005B5FFE" w:rsidRDefault="007F3BEB" w:rsidP="007F3BEB">
      <w:pPr>
        <w:numPr>
          <w:ilvl w:val="1"/>
          <w:numId w:val="11"/>
        </w:numPr>
        <w:spacing w:after="260" w:line="250" w:lineRule="auto"/>
        <w:jc w:val="both"/>
        <w:rPr>
          <w:rFonts w:ascii="Times New Roman" w:hAnsi="Times New Roman" w:cs="Times New Roman"/>
          <w:sz w:val="24"/>
          <w:szCs w:val="24"/>
          <w:lang w:val="sq-AL"/>
        </w:rPr>
      </w:pPr>
      <w:r w:rsidRPr="005B5FFE">
        <w:rPr>
          <w:rStyle w:val="tlid-translation"/>
          <w:rFonts w:ascii="Times New Roman" w:hAnsi="Times New Roman" w:cs="Times New Roman"/>
          <w:sz w:val="24"/>
          <w:szCs w:val="24"/>
          <w:lang w:val="sq-AL"/>
        </w:rPr>
        <w:t xml:space="preserve">Nënshkrimi i kësaj marrëveshje, të plotësuar nga Rregullat e Tregut Shqiptar të Balancimit nuk cenon: ndonjë ligj, rregull, rregullore, marrëveshje ose dokument të detyrueshëm ose të zbatueshëm për </w:t>
      </w:r>
      <w:r>
        <w:rPr>
          <w:rStyle w:val="tlid-translation"/>
          <w:rFonts w:ascii="Times New Roman" w:hAnsi="Times New Roman" w:cs="Times New Roman"/>
          <w:sz w:val="24"/>
          <w:szCs w:val="24"/>
          <w:lang w:val="sq-AL"/>
        </w:rPr>
        <w:t>PPB</w:t>
      </w:r>
      <w:r w:rsidRPr="005B5FFE">
        <w:rPr>
          <w:rStyle w:val="tlid-translation"/>
          <w:rFonts w:ascii="Times New Roman" w:hAnsi="Times New Roman" w:cs="Times New Roman"/>
          <w:sz w:val="24"/>
          <w:szCs w:val="24"/>
          <w:lang w:val="sq-AL"/>
        </w:rPr>
        <w:t xml:space="preserve">. </w:t>
      </w:r>
    </w:p>
    <w:p w:rsidR="004B445E" w:rsidRPr="004B445E" w:rsidRDefault="004B445E" w:rsidP="004B445E">
      <w:pPr>
        <w:pStyle w:val="LDKbody"/>
        <w:numPr>
          <w:ilvl w:val="0"/>
          <w:numId w:val="11"/>
        </w:numPr>
        <w:rPr>
          <w:lang w:val="sq-AL"/>
        </w:rPr>
      </w:pPr>
      <w:r w:rsidRPr="004B445E">
        <w:rPr>
          <w:lang w:val="sq-AL"/>
        </w:rPr>
        <w:t>PPB pranon se</w:t>
      </w:r>
      <w:r w:rsidR="007F3BEB">
        <w:rPr>
          <w:lang w:val="sq-AL"/>
        </w:rPr>
        <w:t xml:space="preserve"> </w:t>
      </w:r>
      <w:r w:rsidRPr="004B445E">
        <w:rPr>
          <w:lang w:val="sq-AL"/>
        </w:rPr>
        <w:t>ka detyrimin ta njoftojë menjëherë OST në rast të pa-pajtueshmërisë ose shkeljes së detyrimeve kontraktuale.</w:t>
      </w:r>
    </w:p>
    <w:p w:rsidR="004B445E" w:rsidRPr="004B445E" w:rsidRDefault="007F3BEB" w:rsidP="004B445E">
      <w:pPr>
        <w:ind w:left="209"/>
        <w:jc w:val="both"/>
        <w:rPr>
          <w:rFonts w:ascii="Times New Roman" w:hAnsi="Times New Roman" w:cs="Times New Roman"/>
          <w:b/>
          <w:sz w:val="24"/>
          <w:szCs w:val="24"/>
          <w:lang w:val="sq-AL"/>
        </w:rPr>
      </w:pPr>
      <w:r>
        <w:rPr>
          <w:rStyle w:val="tlid-translation"/>
          <w:rFonts w:ascii="Times New Roman" w:hAnsi="Times New Roman" w:cs="Times New Roman"/>
          <w:b/>
          <w:sz w:val="24"/>
          <w:szCs w:val="24"/>
          <w:lang w:val="sq-AL"/>
        </w:rPr>
        <w:t>Deklarime</w:t>
      </w:r>
      <w:r w:rsidR="004B445E" w:rsidRPr="004B445E">
        <w:rPr>
          <w:rStyle w:val="tlid-translation"/>
          <w:rFonts w:ascii="Times New Roman" w:hAnsi="Times New Roman" w:cs="Times New Roman"/>
          <w:b/>
          <w:sz w:val="24"/>
          <w:szCs w:val="24"/>
          <w:lang w:val="sq-AL"/>
        </w:rPr>
        <w:t xml:space="preserve"> nga OST</w:t>
      </w:r>
    </w:p>
    <w:p w:rsidR="004B445E" w:rsidRPr="004B445E" w:rsidRDefault="004B445E" w:rsidP="004B445E">
      <w:pPr>
        <w:pStyle w:val="LDKbody"/>
        <w:numPr>
          <w:ilvl w:val="0"/>
          <w:numId w:val="11"/>
        </w:numPr>
        <w:rPr>
          <w:lang w:val="sq-AL"/>
        </w:rPr>
      </w:pPr>
      <w:r w:rsidRPr="004B445E">
        <w:rPr>
          <w:lang w:val="sq-AL"/>
        </w:rPr>
        <w:lastRenderedPageBreak/>
        <w:t>Me nënshkrimin e kësaj marrëveshje OST i garanton PPB ​​që:</w:t>
      </w:r>
    </w:p>
    <w:p w:rsidR="007F3BEB" w:rsidRPr="005B5FFE" w:rsidRDefault="007F3BEB" w:rsidP="007F3BEB">
      <w:pPr>
        <w:numPr>
          <w:ilvl w:val="1"/>
          <w:numId w:val="11"/>
        </w:numPr>
        <w:spacing w:after="139" w:line="250" w:lineRule="auto"/>
        <w:jc w:val="both"/>
        <w:rPr>
          <w:rFonts w:ascii="Times New Roman" w:hAnsi="Times New Roman" w:cs="Times New Roman"/>
          <w:sz w:val="24"/>
          <w:szCs w:val="24"/>
          <w:lang w:val="sq-AL"/>
        </w:rPr>
      </w:pPr>
      <w:bookmarkStart w:id="6" w:name="_Toc2767064"/>
      <w:r w:rsidRPr="005B5FFE">
        <w:rPr>
          <w:rStyle w:val="tlid-translation"/>
          <w:rFonts w:ascii="Times New Roman" w:hAnsi="Times New Roman" w:cs="Times New Roman"/>
          <w:sz w:val="24"/>
          <w:szCs w:val="24"/>
          <w:lang w:val="sq-AL"/>
        </w:rPr>
        <w:t>Janë ndërmarrë</w:t>
      </w:r>
      <w:r>
        <w:rPr>
          <w:rStyle w:val="tlid-translation"/>
          <w:rFonts w:ascii="Times New Roman" w:hAnsi="Times New Roman" w:cs="Times New Roman"/>
          <w:sz w:val="24"/>
          <w:szCs w:val="24"/>
          <w:lang w:val="sq-AL"/>
        </w:rPr>
        <w:t xml:space="preserve"> </w:t>
      </w:r>
      <w:r w:rsidRPr="005B5FFE">
        <w:rPr>
          <w:rStyle w:val="tlid-translation"/>
          <w:rFonts w:ascii="Times New Roman" w:hAnsi="Times New Roman" w:cs="Times New Roman"/>
          <w:sz w:val="24"/>
          <w:szCs w:val="24"/>
          <w:lang w:val="sq-AL"/>
        </w:rPr>
        <w:t>të gjitha veprimet e nevojshme për autorizimin e duhur, siç kërkohet nga Rregullat e Tregut Shqiptar të Balancimit, dhe</w:t>
      </w:r>
    </w:p>
    <w:p w:rsidR="007F3BEB" w:rsidRPr="005B5FFE" w:rsidRDefault="007F3BEB" w:rsidP="007F3BEB">
      <w:pPr>
        <w:numPr>
          <w:ilvl w:val="1"/>
          <w:numId w:val="11"/>
        </w:numPr>
        <w:spacing w:after="260" w:line="250" w:lineRule="auto"/>
        <w:jc w:val="both"/>
        <w:rPr>
          <w:rFonts w:ascii="Times New Roman" w:hAnsi="Times New Roman" w:cs="Times New Roman"/>
          <w:sz w:val="24"/>
          <w:szCs w:val="24"/>
          <w:lang w:val="sq-AL"/>
        </w:rPr>
      </w:pPr>
      <w:r w:rsidRPr="005B5FFE">
        <w:rPr>
          <w:rStyle w:val="tlid-translation"/>
          <w:rFonts w:ascii="Times New Roman" w:hAnsi="Times New Roman" w:cs="Times New Roman"/>
          <w:sz w:val="24"/>
          <w:szCs w:val="24"/>
          <w:lang w:val="sq-AL"/>
        </w:rPr>
        <w:t xml:space="preserve">Nënshkrimi i kësaj marrëveshje, të plotësuar nga Rregullat e Tregut Shqiptar të Balancimit nuk cenon: ndonjë ligj, rregull, rregullore, marrëveshje ose dokument të detyrueshëm ose të zbatueshëm për </w:t>
      </w:r>
      <w:r>
        <w:rPr>
          <w:rStyle w:val="tlid-translation"/>
          <w:rFonts w:ascii="Times New Roman" w:hAnsi="Times New Roman" w:cs="Times New Roman"/>
          <w:sz w:val="24"/>
          <w:szCs w:val="24"/>
          <w:lang w:val="sq-AL"/>
        </w:rPr>
        <w:t>PPB</w:t>
      </w:r>
      <w:r w:rsidRPr="005B5FFE">
        <w:rPr>
          <w:rStyle w:val="tlid-translation"/>
          <w:rFonts w:ascii="Times New Roman" w:hAnsi="Times New Roman" w:cs="Times New Roman"/>
          <w:sz w:val="24"/>
          <w:szCs w:val="24"/>
          <w:lang w:val="sq-AL"/>
        </w:rPr>
        <w:t xml:space="preserve">. </w:t>
      </w:r>
    </w:p>
    <w:p w:rsidR="004B445E" w:rsidRPr="004B445E" w:rsidRDefault="004B445E" w:rsidP="007F3BEB">
      <w:pPr>
        <w:pStyle w:val="Heading1"/>
        <w:keepNext/>
        <w:keepLines/>
        <w:numPr>
          <w:ilvl w:val="2"/>
          <w:numId w:val="3"/>
        </w:numPr>
        <w:spacing w:before="0" w:after="251" w:line="265" w:lineRule="auto"/>
        <w:ind w:right="27"/>
        <w:contextualSpacing w:val="0"/>
        <w:jc w:val="center"/>
        <w:rPr>
          <w:rFonts w:cs="Times New Roman"/>
          <w:sz w:val="24"/>
          <w:szCs w:val="24"/>
        </w:rPr>
      </w:pPr>
      <w:r w:rsidRPr="004B445E">
        <w:rPr>
          <w:rStyle w:val="tlid-translation"/>
          <w:rFonts w:cs="Times New Roman"/>
          <w:sz w:val="24"/>
          <w:szCs w:val="24"/>
        </w:rPr>
        <w:t>KOHËZGJATJA E MARRËVESHJES</w:t>
      </w:r>
      <w:bookmarkEnd w:id="6"/>
    </w:p>
    <w:p w:rsidR="004B445E" w:rsidRPr="004B445E" w:rsidRDefault="004B445E" w:rsidP="004B445E">
      <w:pPr>
        <w:pStyle w:val="LDKbody"/>
        <w:numPr>
          <w:ilvl w:val="0"/>
          <w:numId w:val="11"/>
        </w:numPr>
        <w:rPr>
          <w:lang w:val="sq-AL"/>
        </w:rPr>
      </w:pPr>
      <w:r w:rsidRPr="004B445E">
        <w:rPr>
          <w:lang w:val="sq-AL"/>
        </w:rPr>
        <w:t>Kjo Marrëveshje hyn në fuqi në datën e nënshkrimit të saj nga të dy Palët dhe do të vazhdojë të jetë në fuqi deri në përfundimin nga secila prej Palëve në përputhje me Seksionin IX të kësaj Marrëveshje.</w:t>
      </w:r>
    </w:p>
    <w:p w:rsidR="004B445E" w:rsidRPr="004B445E" w:rsidRDefault="004B445E" w:rsidP="007F3BEB">
      <w:pPr>
        <w:pStyle w:val="Heading1"/>
        <w:keepNext/>
        <w:keepLines/>
        <w:numPr>
          <w:ilvl w:val="2"/>
          <w:numId w:val="3"/>
        </w:numPr>
        <w:tabs>
          <w:tab w:val="left" w:pos="4820"/>
        </w:tabs>
        <w:spacing w:after="251" w:line="265" w:lineRule="auto"/>
        <w:ind w:right="340"/>
        <w:contextualSpacing w:val="0"/>
        <w:jc w:val="center"/>
        <w:rPr>
          <w:rFonts w:cs="Times New Roman"/>
          <w:sz w:val="24"/>
          <w:szCs w:val="24"/>
        </w:rPr>
      </w:pPr>
      <w:bookmarkStart w:id="7" w:name="_Toc2767065"/>
      <w:r w:rsidRPr="004B445E">
        <w:rPr>
          <w:rStyle w:val="tlid-translation"/>
          <w:rFonts w:cs="Times New Roman"/>
          <w:sz w:val="24"/>
          <w:szCs w:val="24"/>
        </w:rPr>
        <w:t>KONFIDENCIALITETI</w:t>
      </w:r>
      <w:bookmarkEnd w:id="7"/>
    </w:p>
    <w:p w:rsidR="004B445E" w:rsidRPr="004B445E" w:rsidRDefault="004B445E" w:rsidP="004B445E">
      <w:pPr>
        <w:pStyle w:val="LDKbody"/>
        <w:numPr>
          <w:ilvl w:val="0"/>
          <w:numId w:val="11"/>
        </w:numPr>
        <w:rPr>
          <w:lang w:val="sq-AL"/>
        </w:rPr>
      </w:pPr>
      <w:r w:rsidRPr="004B445E">
        <w:rPr>
          <w:lang w:val="sq-AL"/>
        </w:rPr>
        <w:t>OST garanton që asnjë palë e tretë nuk do të ketë qasje ose të marrë informacione për çështjet që kanë të bëjnë me biznesin ose çështjet personale të OSB,të cilat rrjedhin</w:t>
      </w:r>
      <w:r w:rsidR="007F3BEB">
        <w:rPr>
          <w:lang w:val="sq-AL"/>
        </w:rPr>
        <w:t xml:space="preserve"> </w:t>
      </w:r>
      <w:r w:rsidRPr="004B445E">
        <w:rPr>
          <w:lang w:val="sq-AL"/>
        </w:rPr>
        <w:t>nga transaksionet e kryera nga PPB në tregun e balancimit. OST nuk do ta përdorë këtë informacion për qëllime të tjera përveç atyre që lidhen me aktivitetin e OST në transaksionet në tregun e balancimit.</w:t>
      </w:r>
    </w:p>
    <w:p w:rsidR="004B445E" w:rsidRPr="004B445E" w:rsidRDefault="004B445E" w:rsidP="004B445E">
      <w:pPr>
        <w:pStyle w:val="LDKbody"/>
        <w:numPr>
          <w:ilvl w:val="0"/>
          <w:numId w:val="11"/>
        </w:numPr>
        <w:rPr>
          <w:lang w:val="sq-AL"/>
        </w:rPr>
      </w:pPr>
      <w:r w:rsidRPr="004B445E">
        <w:rPr>
          <w:lang w:val="sq-AL"/>
        </w:rPr>
        <w:t>PPB do të garantojë që asnjë palë e tretë nuk do të ketë qasje ose të marrë informacion konfidencial në lidhje me aktivitetin, biznesin, konsumatorët, klientët ose furnizuesit e OST.</w:t>
      </w:r>
    </w:p>
    <w:p w:rsidR="004B445E" w:rsidRPr="004B445E" w:rsidRDefault="004B445E" w:rsidP="004B445E">
      <w:pPr>
        <w:pStyle w:val="LDKbody"/>
        <w:numPr>
          <w:ilvl w:val="0"/>
          <w:numId w:val="11"/>
        </w:numPr>
        <w:rPr>
          <w:lang w:val="sq-AL"/>
        </w:rPr>
      </w:pPr>
      <w:r w:rsidRPr="004B445E">
        <w:rPr>
          <w:lang w:val="sq-AL"/>
        </w:rPr>
        <w:t>Detyrimi i konfidencialitetit nuk ka të bëjë me informacionin i cili është ose është bërë publik jo për shkak të shkeljes së detyrimeve të konfidencialitetit në pajtim me këtë marrëveshje;</w:t>
      </w:r>
    </w:p>
    <w:p w:rsidR="004B445E" w:rsidRPr="004B445E" w:rsidRDefault="004B445E" w:rsidP="004B445E">
      <w:pPr>
        <w:pStyle w:val="LDKbody"/>
        <w:numPr>
          <w:ilvl w:val="0"/>
          <w:numId w:val="11"/>
        </w:numPr>
        <w:rPr>
          <w:lang w:val="sq-AL"/>
        </w:rPr>
      </w:pPr>
      <w:r w:rsidRPr="004B445E">
        <w:rPr>
          <w:lang w:val="sq-AL"/>
        </w:rPr>
        <w:t>Detyrimi i konfidencialitetit nuk e kufizon OST për të paraqitur informacion tek ERE ose kur kjo kërkohet me ligj.</w:t>
      </w:r>
    </w:p>
    <w:p w:rsidR="004B445E" w:rsidRPr="004B445E" w:rsidRDefault="004B445E" w:rsidP="004B445E">
      <w:pPr>
        <w:pStyle w:val="LDKbody"/>
        <w:numPr>
          <w:ilvl w:val="0"/>
          <w:numId w:val="11"/>
        </w:numPr>
        <w:rPr>
          <w:lang w:val="sq-AL"/>
        </w:rPr>
      </w:pPr>
      <w:r w:rsidRPr="004B445E">
        <w:rPr>
          <w:lang w:val="sq-AL"/>
        </w:rPr>
        <w:t>PPB pranon të drejtën e pronësisë së OST në informacionin tregtar si dhe të drejtën e tij për të vepruar në përputhje me kushtet dhe kërkesat e Rregullave të Tregut Shqiptar të Balancimit.</w:t>
      </w:r>
    </w:p>
    <w:p w:rsidR="004B445E" w:rsidRPr="004B445E" w:rsidRDefault="004B445E" w:rsidP="007F3BEB">
      <w:pPr>
        <w:pStyle w:val="Heading1"/>
        <w:keepNext/>
        <w:keepLines/>
        <w:numPr>
          <w:ilvl w:val="0"/>
          <w:numId w:val="0"/>
        </w:numPr>
        <w:tabs>
          <w:tab w:val="left" w:pos="4820"/>
        </w:tabs>
        <w:spacing w:after="251" w:line="265" w:lineRule="auto"/>
        <w:ind w:right="340"/>
        <w:contextualSpacing w:val="0"/>
        <w:jc w:val="center"/>
        <w:rPr>
          <w:rFonts w:cs="Times New Roman"/>
          <w:sz w:val="24"/>
          <w:szCs w:val="24"/>
        </w:rPr>
      </w:pPr>
      <w:bookmarkStart w:id="8" w:name="_Toc2767066"/>
      <w:r w:rsidRPr="004B445E">
        <w:rPr>
          <w:rStyle w:val="tlid-translation"/>
          <w:rFonts w:cs="Times New Roman"/>
          <w:sz w:val="24"/>
          <w:szCs w:val="24"/>
        </w:rPr>
        <w:t>VII ZGJIDHJA E MOSMARRËVESHJEVE</w:t>
      </w:r>
      <w:bookmarkEnd w:id="8"/>
      <w:r w:rsidRPr="004B445E">
        <w:rPr>
          <w:rFonts w:cs="Times New Roman"/>
          <w:sz w:val="24"/>
          <w:szCs w:val="24"/>
        </w:rPr>
        <w:br/>
      </w:r>
    </w:p>
    <w:p w:rsidR="004B445E" w:rsidRPr="004B445E" w:rsidRDefault="004B445E" w:rsidP="004B445E">
      <w:pPr>
        <w:pStyle w:val="LDKbody"/>
        <w:numPr>
          <w:ilvl w:val="0"/>
          <w:numId w:val="11"/>
        </w:numPr>
        <w:rPr>
          <w:lang w:val="sq-AL"/>
        </w:rPr>
      </w:pPr>
      <w:r w:rsidRPr="004B445E">
        <w:rPr>
          <w:lang w:val="sq-AL"/>
        </w:rPr>
        <w:t xml:space="preserve">Në rast të mosmarrëveshjes në lidhje me zbatimin e kësaj Marrëveshjeje, Palët e Marrëveshjes do të bëjnë përpjekjet më të mira për të zgjidhur mosmarrëveshjen e tyre në </w:t>
      </w:r>
      <w:r w:rsidRPr="004B445E">
        <w:rPr>
          <w:lang w:val="sq-AL"/>
        </w:rPr>
        <w:lastRenderedPageBreak/>
        <w:t>mënyrë miqësore, nëpërmjet negocimit. Në rast se</w:t>
      </w:r>
      <w:r w:rsidR="007F3BEB">
        <w:rPr>
          <w:lang w:val="sq-AL"/>
        </w:rPr>
        <w:t xml:space="preserve"> </w:t>
      </w:r>
      <w:r w:rsidRPr="004B445E">
        <w:rPr>
          <w:lang w:val="sq-AL"/>
        </w:rPr>
        <w:t xml:space="preserve">Palët nuk mund ta zgjidhin mosmarrëveshjen përmes negocimit, Pala/Palët mund të paraqesin mosmarrëveshjen </w:t>
      </w:r>
      <w:r w:rsidR="007F3BEB">
        <w:rPr>
          <w:lang w:val="sq-AL"/>
        </w:rPr>
        <w:t xml:space="preserve">e tyre në ERE, në përputhje me </w:t>
      </w:r>
      <w:r w:rsidRPr="004B445E">
        <w:rPr>
          <w:lang w:val="sq-AL"/>
        </w:rPr>
        <w:t>Rregulloren për trajtimin e ankesave të paraqitura nga klientët dhe për zgjidhjen e mosmarrëveshjeve ndërmjet të licencuarve në sektorin e energjisë elektrike dhe gazit natyror (Bordi i ERE-s vendimi nr 114, datë 8.7.2016).</w:t>
      </w:r>
    </w:p>
    <w:p w:rsidR="004B445E" w:rsidRPr="004B445E" w:rsidRDefault="004B445E" w:rsidP="004B445E">
      <w:pPr>
        <w:pStyle w:val="LDKbody"/>
        <w:numPr>
          <w:ilvl w:val="0"/>
          <w:numId w:val="11"/>
        </w:numPr>
        <w:rPr>
          <w:lang w:val="sq-AL"/>
        </w:rPr>
      </w:pPr>
      <w:r w:rsidRPr="004B445E">
        <w:rPr>
          <w:lang w:val="sq-AL"/>
        </w:rPr>
        <w:t>Në rast se</w:t>
      </w:r>
      <w:r w:rsidR="007F3BEB">
        <w:rPr>
          <w:lang w:val="sq-AL"/>
        </w:rPr>
        <w:t xml:space="preserve"> </w:t>
      </w:r>
      <w:r w:rsidRPr="004B445E">
        <w:rPr>
          <w:lang w:val="sq-AL"/>
        </w:rPr>
        <w:t>mosmarrëveshja midis Palëve lidhet me interpretimin e Kodit të Transmetimit, Palët e kësaj Marrëveshje do të bëjnë</w:t>
      </w:r>
      <w:r w:rsidR="007F3BEB">
        <w:rPr>
          <w:lang w:val="sq-AL"/>
        </w:rPr>
        <w:t xml:space="preserve"> </w:t>
      </w:r>
      <w:r w:rsidRPr="004B445E">
        <w:rPr>
          <w:lang w:val="sq-AL"/>
        </w:rPr>
        <w:t>zgjidhjen e mosmarrëveshjeve sipas procedurës së përcaktuar</w:t>
      </w:r>
      <w:r w:rsidR="007F3BEB">
        <w:rPr>
          <w:lang w:val="sq-AL"/>
        </w:rPr>
        <w:t xml:space="preserve"> në Kodin e Transmetimit,</w:t>
      </w:r>
      <w:r w:rsidRPr="004B445E">
        <w:rPr>
          <w:lang w:val="sq-AL"/>
        </w:rPr>
        <w:t xml:space="preserve"> </w:t>
      </w:r>
      <w:r w:rsidR="007F3BEB">
        <w:rPr>
          <w:lang w:val="sq-AL"/>
        </w:rPr>
        <w:t>si ed</w:t>
      </w:r>
      <w:r w:rsidRPr="004B445E">
        <w:rPr>
          <w:lang w:val="sq-AL"/>
        </w:rPr>
        <w:t>he</w:t>
      </w:r>
      <w:r w:rsidR="007F3BEB">
        <w:rPr>
          <w:lang w:val="sq-AL"/>
        </w:rPr>
        <w:t xml:space="preserve"> </w:t>
      </w:r>
      <w:r w:rsidRPr="004B445E">
        <w:rPr>
          <w:lang w:val="sq-AL"/>
        </w:rPr>
        <w:t>të zbatojnë Rregulloren për trajtimin e ankesave të paraqitura nga klientët dhe zgjidhjen e mosmarrëv</w:t>
      </w:r>
      <w:r w:rsidR="007F3BEB">
        <w:rPr>
          <w:lang w:val="sq-AL"/>
        </w:rPr>
        <w:t>eshjeve ndërmjet të licencuarve</w:t>
      </w:r>
      <w:r w:rsidRPr="004B445E">
        <w:rPr>
          <w:lang w:val="sq-AL"/>
        </w:rPr>
        <w:t>.</w:t>
      </w:r>
    </w:p>
    <w:p w:rsidR="004B445E" w:rsidRPr="004B445E" w:rsidRDefault="004B445E" w:rsidP="004B445E">
      <w:pPr>
        <w:pStyle w:val="LDKbody"/>
        <w:numPr>
          <w:ilvl w:val="0"/>
          <w:numId w:val="11"/>
        </w:numPr>
        <w:rPr>
          <w:lang w:val="sq-AL"/>
        </w:rPr>
      </w:pPr>
      <w:r w:rsidRPr="004B445E">
        <w:rPr>
          <w:lang w:val="sq-AL"/>
        </w:rPr>
        <w:t>Në rastin e mos-pëlqimit të vendimit të ERE, çdo Palë në Marrëveshje ka të drejtë të çojë çështjen për zgjidhje në gjykatën kompetente në Tiranë.</w:t>
      </w:r>
    </w:p>
    <w:p w:rsidR="004B445E" w:rsidRPr="004B445E" w:rsidRDefault="004B445E" w:rsidP="007F3BEB">
      <w:pPr>
        <w:pStyle w:val="Heading1"/>
        <w:numPr>
          <w:ilvl w:val="2"/>
          <w:numId w:val="3"/>
        </w:numPr>
        <w:ind w:right="233"/>
        <w:jc w:val="center"/>
        <w:rPr>
          <w:rFonts w:eastAsia="Times New Roman" w:cs="Times New Roman"/>
          <w:sz w:val="24"/>
          <w:szCs w:val="24"/>
        </w:rPr>
      </w:pPr>
      <w:bookmarkStart w:id="9" w:name="_Toc2767067"/>
      <w:r w:rsidRPr="004B445E">
        <w:rPr>
          <w:rFonts w:cs="Times New Roman"/>
          <w:sz w:val="24"/>
          <w:szCs w:val="24"/>
        </w:rPr>
        <w:t xml:space="preserve">AMENDIMET </w:t>
      </w:r>
      <w:r w:rsidRPr="004B445E">
        <w:rPr>
          <w:rFonts w:eastAsia="Times New Roman" w:cs="Times New Roman"/>
          <w:sz w:val="24"/>
          <w:szCs w:val="24"/>
        </w:rPr>
        <w:t>E MARRËVESHJES</w:t>
      </w:r>
      <w:bookmarkEnd w:id="9"/>
    </w:p>
    <w:p w:rsidR="004B445E" w:rsidRPr="004B445E" w:rsidRDefault="004B445E" w:rsidP="004B445E">
      <w:pPr>
        <w:jc w:val="both"/>
        <w:rPr>
          <w:rFonts w:ascii="Times New Roman" w:hAnsi="Times New Roman" w:cs="Times New Roman"/>
          <w:sz w:val="24"/>
          <w:szCs w:val="24"/>
          <w:lang w:val="sq-AL"/>
        </w:rPr>
      </w:pPr>
    </w:p>
    <w:p w:rsidR="004B445E" w:rsidRPr="004B445E" w:rsidRDefault="004B445E" w:rsidP="004B445E">
      <w:pPr>
        <w:pStyle w:val="LDKbody"/>
        <w:numPr>
          <w:ilvl w:val="0"/>
          <w:numId w:val="11"/>
        </w:numPr>
        <w:rPr>
          <w:lang w:val="sq-AL"/>
        </w:rPr>
      </w:pPr>
      <w:r w:rsidRPr="004B445E">
        <w:rPr>
          <w:lang w:val="sq-AL"/>
        </w:rPr>
        <w:t>Kjo Marrëveshje është pjesë përbërëse e Rregullave të Tregut Shqiptar të Balancimit dhe si e tillë miratohet nga ERE. Amendimet në këtë marrëveshje kërkojnë miratimin e ERE.</w:t>
      </w:r>
    </w:p>
    <w:p w:rsidR="004B445E" w:rsidRPr="004B445E" w:rsidRDefault="004B445E" w:rsidP="004B445E">
      <w:pPr>
        <w:pStyle w:val="LDKbody"/>
        <w:numPr>
          <w:ilvl w:val="0"/>
          <w:numId w:val="11"/>
        </w:numPr>
        <w:rPr>
          <w:lang w:val="sq-AL"/>
        </w:rPr>
      </w:pPr>
      <w:r w:rsidRPr="004B445E">
        <w:rPr>
          <w:lang w:val="sq-AL"/>
        </w:rPr>
        <w:t>OST mund të propozojë ndryshime në Rregullat e Tregut Shqiptar të Balancimit në përputhje me kushtet e përcaktuara në to.</w:t>
      </w:r>
    </w:p>
    <w:p w:rsidR="004B445E" w:rsidRPr="004B445E" w:rsidRDefault="004B445E" w:rsidP="004B445E">
      <w:pPr>
        <w:pStyle w:val="LDKbody"/>
        <w:numPr>
          <w:ilvl w:val="0"/>
          <w:numId w:val="11"/>
        </w:numPr>
        <w:rPr>
          <w:lang w:val="sq-AL"/>
        </w:rPr>
      </w:pPr>
      <w:r w:rsidRPr="004B445E">
        <w:rPr>
          <w:lang w:val="sq-AL"/>
        </w:rPr>
        <w:t>Çdo amendim i Rregullave të Tregut Shqiptar të Balancimit ndikon drejtpërsëdrejti te Palët në këtë Marrëveshje.</w:t>
      </w:r>
    </w:p>
    <w:p w:rsidR="004B445E" w:rsidRPr="004B445E" w:rsidRDefault="004B445E" w:rsidP="007F3BEB">
      <w:pPr>
        <w:pStyle w:val="Heading1"/>
        <w:numPr>
          <w:ilvl w:val="0"/>
          <w:numId w:val="0"/>
        </w:numPr>
        <w:ind w:right="343"/>
        <w:jc w:val="center"/>
        <w:rPr>
          <w:rFonts w:cs="Times New Roman"/>
          <w:sz w:val="24"/>
          <w:szCs w:val="24"/>
        </w:rPr>
      </w:pPr>
      <w:bookmarkStart w:id="10" w:name="_Toc2767068"/>
      <w:r w:rsidRPr="004B445E">
        <w:rPr>
          <w:rFonts w:cs="Times New Roman"/>
          <w:sz w:val="24"/>
          <w:szCs w:val="24"/>
        </w:rPr>
        <w:t xml:space="preserve">IX. </w:t>
      </w:r>
      <w:r w:rsidRPr="004B445E">
        <w:rPr>
          <w:rFonts w:eastAsia="Times New Roman" w:cs="Times New Roman"/>
          <w:sz w:val="24"/>
          <w:szCs w:val="24"/>
        </w:rPr>
        <w:t>PËRFUNDIMI I MARRËVESHJES</w:t>
      </w:r>
      <w:bookmarkEnd w:id="10"/>
      <w:r w:rsidRPr="004B445E">
        <w:rPr>
          <w:rFonts w:eastAsia="Times New Roman" w:cs="Times New Roman"/>
          <w:sz w:val="24"/>
          <w:szCs w:val="24"/>
        </w:rPr>
        <w:br/>
      </w:r>
    </w:p>
    <w:p w:rsidR="004B445E" w:rsidRPr="004B445E" w:rsidRDefault="004B445E" w:rsidP="004B445E">
      <w:pPr>
        <w:pStyle w:val="LDKbody"/>
        <w:numPr>
          <w:ilvl w:val="0"/>
          <w:numId w:val="11"/>
        </w:numPr>
        <w:rPr>
          <w:lang w:val="sq-AL"/>
        </w:rPr>
      </w:pPr>
      <w:r w:rsidRPr="004B445E">
        <w:rPr>
          <w:lang w:val="sq-AL"/>
        </w:rPr>
        <w:t>Secila nga palët mund ta përfundojë këtë Marrëveshje pas një njoftimi me shkrim, në përputhje me Rregullat e Tregut Shqiptar të Balancimit.</w:t>
      </w:r>
    </w:p>
    <w:p w:rsidR="004B445E" w:rsidRPr="004B445E" w:rsidRDefault="004B445E" w:rsidP="004B445E">
      <w:pPr>
        <w:pStyle w:val="LDKbody"/>
        <w:numPr>
          <w:ilvl w:val="0"/>
          <w:numId w:val="11"/>
        </w:numPr>
        <w:rPr>
          <w:lang w:val="sq-AL"/>
        </w:rPr>
      </w:pPr>
      <w:r w:rsidRPr="004B445E">
        <w:rPr>
          <w:lang w:val="sq-AL"/>
        </w:rPr>
        <w:t>Përfundimi i përkohshëm ose përfundimtar i Marrëveshjes për shkak të mospërmbushjes së detyrimit nga njëra Palë rregullohet nga Rregullat e Tregut Shqiptar të Balancimit.</w:t>
      </w:r>
    </w:p>
    <w:p w:rsidR="004B445E" w:rsidRPr="004B445E" w:rsidRDefault="004B445E" w:rsidP="007F3BEB">
      <w:pPr>
        <w:pStyle w:val="Heading1"/>
        <w:numPr>
          <w:ilvl w:val="0"/>
          <w:numId w:val="0"/>
        </w:numPr>
        <w:ind w:right="450"/>
        <w:jc w:val="center"/>
        <w:rPr>
          <w:rFonts w:eastAsia="Times New Roman" w:cs="Times New Roman"/>
          <w:sz w:val="24"/>
          <w:szCs w:val="24"/>
        </w:rPr>
      </w:pPr>
      <w:bookmarkStart w:id="11" w:name="_Toc2767069"/>
      <w:r w:rsidRPr="004B445E">
        <w:rPr>
          <w:rFonts w:cs="Times New Roman"/>
          <w:sz w:val="24"/>
          <w:szCs w:val="24"/>
        </w:rPr>
        <w:t>X. NDASHMËRIA</w:t>
      </w:r>
      <w:bookmarkEnd w:id="11"/>
    </w:p>
    <w:p w:rsidR="004B445E" w:rsidRPr="004B445E" w:rsidRDefault="004B445E" w:rsidP="004B445E">
      <w:pPr>
        <w:pStyle w:val="LDKbody"/>
        <w:numPr>
          <w:ilvl w:val="0"/>
          <w:numId w:val="11"/>
        </w:numPr>
        <w:rPr>
          <w:lang w:val="sq-AL"/>
        </w:rPr>
      </w:pPr>
      <w:r w:rsidRPr="004B445E">
        <w:rPr>
          <w:lang w:val="sq-AL"/>
        </w:rPr>
        <w:t>Pavlefshmëria e ndonjë prej klauzolave të Marrëveshjes nuk çon në pavlefshmërinë e ndonjë klauzole tjetër ose të marrëveshjes në tërësi.</w:t>
      </w:r>
    </w:p>
    <w:p w:rsidR="004B445E" w:rsidRPr="004B445E" w:rsidRDefault="004B445E" w:rsidP="007F3BEB">
      <w:pPr>
        <w:pStyle w:val="Heading1"/>
        <w:numPr>
          <w:ilvl w:val="0"/>
          <w:numId w:val="0"/>
        </w:numPr>
        <w:ind w:right="559"/>
        <w:jc w:val="center"/>
        <w:rPr>
          <w:rFonts w:cs="Times New Roman"/>
          <w:sz w:val="24"/>
          <w:szCs w:val="24"/>
        </w:rPr>
      </w:pPr>
      <w:bookmarkStart w:id="12" w:name="_Toc2767070"/>
      <w:r w:rsidRPr="004B445E">
        <w:rPr>
          <w:rFonts w:cs="Times New Roman"/>
          <w:sz w:val="24"/>
          <w:szCs w:val="24"/>
        </w:rPr>
        <w:lastRenderedPageBreak/>
        <w:t>XI. ZBATIMI I LIGJIT</w:t>
      </w:r>
      <w:bookmarkEnd w:id="12"/>
    </w:p>
    <w:p w:rsidR="004B445E" w:rsidRPr="004B445E" w:rsidRDefault="004B445E" w:rsidP="004B445E">
      <w:pPr>
        <w:pStyle w:val="LDKbody"/>
        <w:numPr>
          <w:ilvl w:val="0"/>
          <w:numId w:val="11"/>
        </w:numPr>
        <w:rPr>
          <w:lang w:val="sq-AL"/>
        </w:rPr>
      </w:pPr>
      <w:r w:rsidRPr="004B445E">
        <w:rPr>
          <w:lang w:val="sq-AL"/>
        </w:rPr>
        <w:t>Çdo pretendim, mosmarrëveshje ose diferenca që mund të lindin nga ose në lidhje me këtë Marrëveshje, duke përfshirë çdo çështje në lidhje me ekzistencën, vlefshmërinë ose përfundimin e saj, do të zgjidhet në përputhje me legjislacionin shqiptar në fuqi.</w:t>
      </w:r>
    </w:p>
    <w:p w:rsidR="004B445E" w:rsidRPr="004B445E" w:rsidRDefault="004B445E" w:rsidP="004B445E">
      <w:pPr>
        <w:pStyle w:val="LDKbody"/>
        <w:numPr>
          <w:ilvl w:val="0"/>
          <w:numId w:val="11"/>
        </w:numPr>
        <w:rPr>
          <w:lang w:val="sq-AL"/>
        </w:rPr>
      </w:pPr>
      <w:r w:rsidRPr="004B445E">
        <w:rPr>
          <w:lang w:val="sq-AL"/>
        </w:rPr>
        <w:t>Secila Palë heq dorë nga çdo kundërshtim që mund të ketë tani ose më vonë lidhur me seancat e zhvilluara në gjykatat shqiptare dhe gjithashtu pranon që vendimi i marrë në gjykatat shqiptare do të jetë përfundimtar dhe i detyrueshëm për Palët.</w:t>
      </w:r>
    </w:p>
    <w:p w:rsidR="004B445E" w:rsidRPr="004B445E" w:rsidRDefault="004B445E" w:rsidP="004B445E">
      <w:pPr>
        <w:pStyle w:val="LDKbody"/>
        <w:rPr>
          <w:szCs w:val="24"/>
          <w:lang w:val="sq-AL"/>
        </w:rPr>
      </w:pPr>
      <w:r w:rsidRPr="004B445E">
        <w:rPr>
          <w:szCs w:val="24"/>
          <w:lang w:val="sq-AL"/>
        </w:rPr>
        <w:t>NË DËSHMI TË KËSAJ MARRËVESHJE, secila Palë ka bërë të mundur që përfaqësuesi i saj i autorizuar të zbatojë këtë marrëveshje, e cila është në fuqi që nga data e nënshkrimit nga të dy Palët.</w:t>
      </w:r>
    </w:p>
    <w:p w:rsidR="004B445E" w:rsidRPr="004B445E" w:rsidRDefault="004B445E" w:rsidP="004B445E">
      <w:pPr>
        <w:pStyle w:val="LDKbody"/>
        <w:rPr>
          <w:szCs w:val="24"/>
          <w:lang w:val="sq-AL"/>
        </w:rPr>
      </w:pPr>
      <w:r w:rsidRPr="004B445E">
        <w:rPr>
          <w:szCs w:val="24"/>
          <w:lang w:val="sq-AL"/>
        </w:rPr>
        <w:t>Kjo marrëveshje nënshkruhet në katër (4) kopje origjinale, dy (2) në gjuhën angleze dhe dy (2) në gjuhën shqipe dhe secila Palë mban dy (2), një (1) për çdo gjuhë.</w:t>
      </w:r>
    </w:p>
    <w:p w:rsidR="004B445E" w:rsidRPr="004B445E" w:rsidRDefault="004B445E" w:rsidP="004B445E">
      <w:pPr>
        <w:spacing w:after="0" w:line="259" w:lineRule="auto"/>
        <w:jc w:val="both"/>
        <w:rPr>
          <w:rFonts w:ascii="Times New Roman" w:hAnsi="Times New Roman" w:cs="Times New Roman"/>
          <w:b/>
          <w:sz w:val="24"/>
          <w:szCs w:val="24"/>
          <w:lang w:val="sq-AL"/>
        </w:rPr>
      </w:pPr>
      <w:r w:rsidRPr="004B445E">
        <w:rPr>
          <w:rFonts w:ascii="Times New Roman" w:eastAsia="Times New Roman" w:hAnsi="Times New Roman" w:cs="Times New Roman"/>
          <w:sz w:val="24"/>
          <w:szCs w:val="24"/>
          <w:lang w:val="sq-AL"/>
        </w:rPr>
        <w:t>Për dhe në emër të PPB</w:t>
      </w:r>
    </w:p>
    <w:p w:rsidR="004B445E" w:rsidRPr="004B445E" w:rsidRDefault="004B445E" w:rsidP="004B445E">
      <w:pPr>
        <w:spacing w:after="0" w:line="259" w:lineRule="auto"/>
        <w:jc w:val="both"/>
        <w:rPr>
          <w:rFonts w:ascii="Times New Roman" w:hAnsi="Times New Roman" w:cs="Times New Roman"/>
          <w:b/>
          <w:sz w:val="24"/>
          <w:szCs w:val="24"/>
          <w:lang w:val="sq-AL"/>
        </w:rPr>
      </w:pPr>
    </w:p>
    <w:p w:rsidR="004B445E" w:rsidRPr="004B445E" w:rsidRDefault="000A629A" w:rsidP="004B445E">
      <w:pPr>
        <w:spacing w:after="0" w:line="259" w:lineRule="auto"/>
        <w:jc w:val="both"/>
        <w:rPr>
          <w:rFonts w:ascii="Times New Roman" w:hAnsi="Times New Roman" w:cs="Times New Roman"/>
          <w:b/>
          <w:sz w:val="24"/>
          <w:szCs w:val="24"/>
          <w:lang w:val="sq-AL"/>
        </w:rPr>
      </w:pPr>
      <w:r>
        <w:rPr>
          <w:rFonts w:ascii="Times New Roman" w:hAnsi="Times New Roman" w:cs="Times New Roman"/>
          <w:b/>
          <w:noProof/>
          <w:sz w:val="24"/>
          <w:szCs w:val="24"/>
        </w:rPr>
        <mc:AlternateContent>
          <mc:Choice Requires="wpg">
            <w:drawing>
              <wp:inline distT="0" distB="0" distL="0" distR="0">
                <wp:extent cx="5502910" cy="5080"/>
                <wp:effectExtent l="0" t="0" r="2540" b="4445"/>
                <wp:docPr id="4" name="Group 68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910" cy="5080"/>
                          <a:chOff x="0" y="0"/>
                          <a:chExt cx="55031" cy="53"/>
                        </a:xfrm>
                      </wpg:grpSpPr>
                      <wps:wsp>
                        <wps:cNvPr id="5" name="Shape 7065"/>
                        <wps:cNvSpPr>
                          <a:spLocks/>
                        </wps:cNvSpPr>
                        <wps:spPr bwMode="auto">
                          <a:xfrm>
                            <a:off x="0" y="0"/>
                            <a:ext cx="26052" cy="91"/>
                          </a:xfrm>
                          <a:custGeom>
                            <a:avLst/>
                            <a:gdLst>
                              <a:gd name="T0" fmla="*/ 0 w 2605278"/>
                              <a:gd name="T1" fmla="*/ 0 h 9144"/>
                              <a:gd name="T2" fmla="*/ 26052 w 2605278"/>
                              <a:gd name="T3" fmla="*/ 0 h 9144"/>
                              <a:gd name="T4" fmla="*/ 26052 w 2605278"/>
                              <a:gd name="T5" fmla="*/ 91 h 9144"/>
                              <a:gd name="T6" fmla="*/ 0 w 2605278"/>
                              <a:gd name="T7" fmla="*/ 91 h 9144"/>
                              <a:gd name="T8" fmla="*/ 0 w 2605278"/>
                              <a:gd name="T9" fmla="*/ 0 h 9144"/>
                              <a:gd name="T10" fmla="*/ 0 60000 65536"/>
                              <a:gd name="T11" fmla="*/ 0 60000 65536"/>
                              <a:gd name="T12" fmla="*/ 0 60000 65536"/>
                              <a:gd name="T13" fmla="*/ 0 60000 65536"/>
                              <a:gd name="T14" fmla="*/ 0 60000 65536"/>
                              <a:gd name="T15" fmla="*/ 0 w 2605278"/>
                              <a:gd name="T16" fmla="*/ 0 h 9144"/>
                              <a:gd name="T17" fmla="*/ 2605278 w 2605278"/>
                              <a:gd name="T18" fmla="*/ 9144 h 9144"/>
                            </a:gdLst>
                            <a:ahLst/>
                            <a:cxnLst>
                              <a:cxn ang="T10">
                                <a:pos x="T0" y="T1"/>
                              </a:cxn>
                              <a:cxn ang="T11">
                                <a:pos x="T2" y="T3"/>
                              </a:cxn>
                              <a:cxn ang="T12">
                                <a:pos x="T4" y="T5"/>
                              </a:cxn>
                              <a:cxn ang="T13">
                                <a:pos x="T6" y="T7"/>
                              </a:cxn>
                              <a:cxn ang="T14">
                                <a:pos x="T8" y="T9"/>
                              </a:cxn>
                            </a:cxnLst>
                            <a:rect l="T15" t="T16" r="T17" b="T18"/>
                            <a:pathLst>
                              <a:path w="2605278" h="9144">
                                <a:moveTo>
                                  <a:pt x="0" y="0"/>
                                </a:moveTo>
                                <a:lnTo>
                                  <a:pt x="2605278" y="0"/>
                                </a:lnTo>
                                <a:lnTo>
                                  <a:pt x="26052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7066"/>
                        <wps:cNvSpPr>
                          <a:spLocks/>
                        </wps:cNvSpPr>
                        <wps:spPr bwMode="auto">
                          <a:xfrm>
                            <a:off x="29443" y="0"/>
                            <a:ext cx="25588" cy="91"/>
                          </a:xfrm>
                          <a:custGeom>
                            <a:avLst/>
                            <a:gdLst>
                              <a:gd name="T0" fmla="*/ 0 w 2558796"/>
                              <a:gd name="T1" fmla="*/ 0 h 9144"/>
                              <a:gd name="T2" fmla="*/ 25588 w 2558796"/>
                              <a:gd name="T3" fmla="*/ 0 h 9144"/>
                              <a:gd name="T4" fmla="*/ 25588 w 2558796"/>
                              <a:gd name="T5" fmla="*/ 91 h 9144"/>
                              <a:gd name="T6" fmla="*/ 0 w 2558796"/>
                              <a:gd name="T7" fmla="*/ 91 h 9144"/>
                              <a:gd name="T8" fmla="*/ 0 w 2558796"/>
                              <a:gd name="T9" fmla="*/ 0 h 9144"/>
                              <a:gd name="T10" fmla="*/ 0 60000 65536"/>
                              <a:gd name="T11" fmla="*/ 0 60000 65536"/>
                              <a:gd name="T12" fmla="*/ 0 60000 65536"/>
                              <a:gd name="T13" fmla="*/ 0 60000 65536"/>
                              <a:gd name="T14" fmla="*/ 0 60000 65536"/>
                              <a:gd name="T15" fmla="*/ 0 w 2558796"/>
                              <a:gd name="T16" fmla="*/ 0 h 9144"/>
                              <a:gd name="T17" fmla="*/ 2558796 w 2558796"/>
                              <a:gd name="T18" fmla="*/ 9144 h 9144"/>
                            </a:gdLst>
                            <a:ahLst/>
                            <a:cxnLst>
                              <a:cxn ang="T10">
                                <a:pos x="T0" y="T1"/>
                              </a:cxn>
                              <a:cxn ang="T11">
                                <a:pos x="T2" y="T3"/>
                              </a:cxn>
                              <a:cxn ang="T12">
                                <a:pos x="T4" y="T5"/>
                              </a:cxn>
                              <a:cxn ang="T13">
                                <a:pos x="T6" y="T7"/>
                              </a:cxn>
                              <a:cxn ang="T14">
                                <a:pos x="T8" y="T9"/>
                              </a:cxn>
                            </a:cxnLst>
                            <a:rect l="T15" t="T16" r="T17" b="T18"/>
                            <a:pathLst>
                              <a:path w="2558796" h="9144">
                                <a:moveTo>
                                  <a:pt x="0" y="0"/>
                                </a:moveTo>
                                <a:lnTo>
                                  <a:pt x="2558796" y="0"/>
                                </a:lnTo>
                                <a:lnTo>
                                  <a:pt x="25587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10D47B2" id="Group 6829" o:spid="_x0000_s1026" style="width:433.3pt;height:.4pt;mso-position-horizontal-relative:char;mso-position-vertical-relative:line" coordsize="5503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">
                <v:shape id="Shape 7065" o:spid="_x0000_s1027" style="position:absolute;width:26052;height:91;visibility:visible;mso-wrap-style:square;v-text-anchor:top" coordsize="26052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5vm9sMA&#10;AADaAAAADwAAAGRycy9kb3ducmV2LnhtbESP3WrCQBSE7wu+w3KE3jUbhUhJXcUKgu2F2NgHOGSP&#10;SZrs2ZDd/PTtXUHwcpiZb5j1djKNGKhzlWUFiygGQZxbXXGh4PdyeHsH4TyyxsYyKfgnB9vN7GWN&#10;qbYj/9CQ+UIECLsUFZTet6mULi/JoItsSxy8q+0M+iC7QuoOxwA3jVzG8UoarDgslNjSvqS8znqj&#10;oP2uznbcX4ddXZ//rPk8fbmkV+p1Pu0+QHia/DP8aB+1ggTuV8INkJ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5vm9sMAAADaAAAADwAAAAAAAAAAAAAAAACYAgAAZHJzL2Rv&#10;d25yZXYueG1sUEsFBgAAAAAEAAQA9QAAAIgDAAAAAA==&#10;" path="m,l2605278,r,9144l,9144,,e" fillcolor="black" stroked="f" strokeweight="0">
                  <v:stroke miterlimit="83231f" joinstyle="miter"/>
                  <v:path arrowok="t" o:connecttype="custom" o:connectlocs="0,0;261,0;261,1;0,1;0,0" o:connectangles="0,0,0,0,0" textboxrect="0,0,2605278,9144"/>
                </v:shape>
                <v:shape id="Shape 7066" o:spid="_x0000_s1028" style="position:absolute;left:29443;width:25588;height:91;visibility:visible;mso-wrap-style:square;v-text-anchor:top" coordsize="25587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10lsEA&#10;AADaAAAADwAAAGRycy9kb3ducmV2LnhtbESPwWrDMBBE74H+g9hCbrHsHkxxrISSUMihF6el58Xa&#10;2CbWypVkx/77KhDIcZiZN0y5n00vJnK+s6wgS1IQxLXVHTcKfr4/N+8gfEDW2FsmBQt52O9eViUW&#10;2t64oukcGhEh7AtU0IYwFFL6uiWDPrEDcfQu1hkMUbpGaoe3CDe9fEvTXBrsOC60ONChpfp6Ho2C&#10;0X1Ng8nMcfqtjv0yHnA5ZX9KrV/njy2IQHN4hh/tk1aQw/1KvAFy9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ddJbBAAAA2gAAAA8AAAAAAAAAAAAAAAAAmAIAAGRycy9kb3du&#10;cmV2LnhtbFBLBQYAAAAABAAEAPUAAACGAwAAAAA=&#10;" path="m,l2558796,r,9144l,9144,,e" fillcolor="black" stroked="f" strokeweight="0">
                  <v:stroke miterlimit="83231f" joinstyle="miter"/>
                  <v:path arrowok="t" o:connecttype="custom" o:connectlocs="0,0;256,0;256,1;0,1;0,0" o:connectangles="0,0,0,0,0" textboxrect="0,0,2558796,9144"/>
                </v:shape>
                <w10:anchorlock/>
              </v:group>
            </w:pict>
          </mc:Fallback>
        </mc:AlternateContent>
      </w:r>
    </w:p>
    <w:p w:rsidR="004B445E" w:rsidRPr="004B445E" w:rsidRDefault="004B445E" w:rsidP="004B445E">
      <w:pPr>
        <w:spacing w:after="0" w:line="259" w:lineRule="auto"/>
        <w:jc w:val="both"/>
        <w:rPr>
          <w:rFonts w:ascii="Times New Roman" w:hAnsi="Times New Roman" w:cs="Times New Roman"/>
          <w:sz w:val="24"/>
          <w:szCs w:val="24"/>
          <w:lang w:val="sq-AL"/>
        </w:rPr>
      </w:pPr>
      <w:r w:rsidRPr="004B445E">
        <w:rPr>
          <w:rFonts w:ascii="Times New Roman" w:eastAsia="Times New Roman" w:hAnsi="Times New Roman" w:cs="Times New Roman"/>
          <w:sz w:val="24"/>
          <w:szCs w:val="24"/>
          <w:lang w:val="sq-AL"/>
        </w:rPr>
        <w:t>Nënshkrimi</w:t>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eastAsia="Times New Roman" w:hAnsi="Times New Roman" w:cs="Times New Roman"/>
          <w:sz w:val="24"/>
          <w:szCs w:val="24"/>
          <w:lang w:val="sq-AL"/>
        </w:rPr>
        <w:t>Emri dhe titulli (me shkronja të shtypura)</w:t>
      </w:r>
    </w:p>
    <w:p w:rsidR="004B445E" w:rsidRPr="004B445E" w:rsidRDefault="004B445E" w:rsidP="004B445E">
      <w:pPr>
        <w:spacing w:after="0" w:line="259" w:lineRule="auto"/>
        <w:jc w:val="both"/>
        <w:rPr>
          <w:rFonts w:ascii="Times New Roman" w:hAnsi="Times New Roman" w:cs="Times New Roman"/>
          <w:sz w:val="24"/>
          <w:szCs w:val="24"/>
          <w:lang w:val="sq-AL"/>
        </w:rPr>
      </w:pP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p>
    <w:p w:rsidR="004B445E" w:rsidRPr="004B445E" w:rsidRDefault="004B445E" w:rsidP="004B445E">
      <w:pPr>
        <w:spacing w:after="0" w:line="259" w:lineRule="auto"/>
        <w:jc w:val="both"/>
        <w:rPr>
          <w:rFonts w:ascii="Times New Roman" w:hAnsi="Times New Roman" w:cs="Times New Roman"/>
          <w:sz w:val="24"/>
          <w:szCs w:val="24"/>
          <w:lang w:val="sq-AL"/>
        </w:rPr>
      </w:pPr>
      <w:r w:rsidRPr="004B445E">
        <w:rPr>
          <w:rFonts w:ascii="Times New Roman" w:eastAsia="Times New Roman" w:hAnsi="Times New Roman" w:cs="Times New Roman"/>
          <w:sz w:val="24"/>
          <w:szCs w:val="24"/>
          <w:lang w:val="sq-AL"/>
        </w:rPr>
        <w:t>Datë:</w:t>
      </w:r>
    </w:p>
    <w:p w:rsidR="004B445E" w:rsidRPr="004B445E" w:rsidRDefault="004B445E" w:rsidP="004B445E">
      <w:pPr>
        <w:spacing w:after="0" w:line="259" w:lineRule="auto"/>
        <w:jc w:val="both"/>
        <w:rPr>
          <w:rFonts w:ascii="Times New Roman" w:hAnsi="Times New Roman" w:cs="Times New Roman"/>
          <w:b/>
          <w:sz w:val="24"/>
          <w:szCs w:val="24"/>
          <w:lang w:val="sq-AL"/>
        </w:rPr>
      </w:pPr>
    </w:p>
    <w:p w:rsidR="004B445E" w:rsidRPr="004B445E" w:rsidRDefault="004B445E" w:rsidP="004B445E">
      <w:pPr>
        <w:spacing w:after="0" w:line="259" w:lineRule="auto"/>
        <w:jc w:val="both"/>
        <w:rPr>
          <w:rFonts w:ascii="Times New Roman" w:hAnsi="Times New Roman" w:cs="Times New Roman"/>
          <w:b/>
          <w:sz w:val="24"/>
          <w:szCs w:val="24"/>
          <w:lang w:val="sq-AL"/>
        </w:rPr>
      </w:pPr>
      <w:r w:rsidRPr="004B445E">
        <w:rPr>
          <w:rFonts w:ascii="Times New Roman" w:eastAsia="Times New Roman" w:hAnsi="Times New Roman" w:cs="Times New Roman"/>
          <w:sz w:val="24"/>
          <w:szCs w:val="24"/>
          <w:lang w:val="sq-AL"/>
        </w:rPr>
        <w:t>Për dhe në emër të OST sh.a.</w:t>
      </w:r>
    </w:p>
    <w:p w:rsidR="004B445E" w:rsidRPr="004B445E" w:rsidRDefault="004B445E" w:rsidP="004B445E">
      <w:pPr>
        <w:spacing w:after="0" w:line="259" w:lineRule="auto"/>
        <w:jc w:val="both"/>
        <w:rPr>
          <w:rFonts w:ascii="Times New Roman" w:hAnsi="Times New Roman" w:cs="Times New Roman"/>
          <w:b/>
          <w:sz w:val="24"/>
          <w:szCs w:val="24"/>
          <w:lang w:val="sq-AL"/>
        </w:rPr>
      </w:pPr>
      <w:r w:rsidRPr="004B445E">
        <w:rPr>
          <w:rFonts w:ascii="Times New Roman" w:hAnsi="Times New Roman" w:cs="Times New Roman"/>
          <w:b/>
          <w:sz w:val="24"/>
          <w:szCs w:val="24"/>
          <w:lang w:val="sq-AL"/>
        </w:rPr>
        <w:tab/>
      </w:r>
      <w:r w:rsidRPr="004B445E">
        <w:rPr>
          <w:rFonts w:ascii="Times New Roman" w:hAnsi="Times New Roman" w:cs="Times New Roman"/>
          <w:b/>
          <w:sz w:val="24"/>
          <w:szCs w:val="24"/>
          <w:lang w:val="sq-AL"/>
        </w:rPr>
        <w:tab/>
      </w:r>
    </w:p>
    <w:p w:rsidR="004B445E" w:rsidRPr="004B445E" w:rsidRDefault="000A629A" w:rsidP="004B445E">
      <w:pPr>
        <w:spacing w:after="0" w:line="259" w:lineRule="auto"/>
        <w:jc w:val="both"/>
        <w:rPr>
          <w:rFonts w:ascii="Times New Roman" w:hAnsi="Times New Roman" w:cs="Times New Roman"/>
          <w:b/>
          <w:sz w:val="24"/>
          <w:szCs w:val="24"/>
          <w:lang w:val="sq-AL"/>
        </w:rPr>
      </w:pPr>
      <w:r>
        <w:rPr>
          <w:rFonts w:ascii="Times New Roman" w:hAnsi="Times New Roman" w:cs="Times New Roman"/>
          <w:b/>
          <w:noProof/>
          <w:sz w:val="24"/>
          <w:szCs w:val="24"/>
        </w:rPr>
        <mc:AlternateContent>
          <mc:Choice Requires="wpg">
            <w:drawing>
              <wp:inline distT="0" distB="0" distL="0" distR="0">
                <wp:extent cx="5502910" cy="5080"/>
                <wp:effectExtent l="0" t="0" r="2540" b="4445"/>
                <wp:docPr id="1" name="Group 68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02910" cy="5080"/>
                          <a:chOff x="0" y="0"/>
                          <a:chExt cx="55031" cy="53"/>
                        </a:xfrm>
                      </wpg:grpSpPr>
                      <wps:wsp>
                        <wps:cNvPr id="2" name="Shape 7069"/>
                        <wps:cNvSpPr>
                          <a:spLocks/>
                        </wps:cNvSpPr>
                        <wps:spPr bwMode="auto">
                          <a:xfrm>
                            <a:off x="0" y="0"/>
                            <a:ext cx="26052" cy="91"/>
                          </a:xfrm>
                          <a:custGeom>
                            <a:avLst/>
                            <a:gdLst>
                              <a:gd name="T0" fmla="*/ 0 w 2605278"/>
                              <a:gd name="T1" fmla="*/ 0 h 9144"/>
                              <a:gd name="T2" fmla="*/ 26052 w 2605278"/>
                              <a:gd name="T3" fmla="*/ 0 h 9144"/>
                              <a:gd name="T4" fmla="*/ 26052 w 2605278"/>
                              <a:gd name="T5" fmla="*/ 91 h 9144"/>
                              <a:gd name="T6" fmla="*/ 0 w 2605278"/>
                              <a:gd name="T7" fmla="*/ 91 h 9144"/>
                              <a:gd name="T8" fmla="*/ 0 w 2605278"/>
                              <a:gd name="T9" fmla="*/ 0 h 9144"/>
                              <a:gd name="T10" fmla="*/ 0 60000 65536"/>
                              <a:gd name="T11" fmla="*/ 0 60000 65536"/>
                              <a:gd name="T12" fmla="*/ 0 60000 65536"/>
                              <a:gd name="T13" fmla="*/ 0 60000 65536"/>
                              <a:gd name="T14" fmla="*/ 0 60000 65536"/>
                              <a:gd name="T15" fmla="*/ 0 w 2605278"/>
                              <a:gd name="T16" fmla="*/ 0 h 9144"/>
                              <a:gd name="T17" fmla="*/ 2605278 w 2605278"/>
                              <a:gd name="T18" fmla="*/ 9144 h 9144"/>
                            </a:gdLst>
                            <a:ahLst/>
                            <a:cxnLst>
                              <a:cxn ang="T10">
                                <a:pos x="T0" y="T1"/>
                              </a:cxn>
                              <a:cxn ang="T11">
                                <a:pos x="T2" y="T3"/>
                              </a:cxn>
                              <a:cxn ang="T12">
                                <a:pos x="T4" y="T5"/>
                              </a:cxn>
                              <a:cxn ang="T13">
                                <a:pos x="T6" y="T7"/>
                              </a:cxn>
                              <a:cxn ang="T14">
                                <a:pos x="T8" y="T9"/>
                              </a:cxn>
                            </a:cxnLst>
                            <a:rect l="T15" t="T16" r="T17" b="T18"/>
                            <a:pathLst>
                              <a:path w="2605278" h="9144">
                                <a:moveTo>
                                  <a:pt x="0" y="0"/>
                                </a:moveTo>
                                <a:lnTo>
                                  <a:pt x="2605278" y="0"/>
                                </a:lnTo>
                                <a:lnTo>
                                  <a:pt x="26052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7070"/>
                        <wps:cNvSpPr>
                          <a:spLocks/>
                        </wps:cNvSpPr>
                        <wps:spPr bwMode="auto">
                          <a:xfrm>
                            <a:off x="29443" y="0"/>
                            <a:ext cx="25588" cy="91"/>
                          </a:xfrm>
                          <a:custGeom>
                            <a:avLst/>
                            <a:gdLst>
                              <a:gd name="T0" fmla="*/ 0 w 2558796"/>
                              <a:gd name="T1" fmla="*/ 0 h 9144"/>
                              <a:gd name="T2" fmla="*/ 25588 w 2558796"/>
                              <a:gd name="T3" fmla="*/ 0 h 9144"/>
                              <a:gd name="T4" fmla="*/ 25588 w 2558796"/>
                              <a:gd name="T5" fmla="*/ 91 h 9144"/>
                              <a:gd name="T6" fmla="*/ 0 w 2558796"/>
                              <a:gd name="T7" fmla="*/ 91 h 9144"/>
                              <a:gd name="T8" fmla="*/ 0 w 2558796"/>
                              <a:gd name="T9" fmla="*/ 0 h 9144"/>
                              <a:gd name="T10" fmla="*/ 0 60000 65536"/>
                              <a:gd name="T11" fmla="*/ 0 60000 65536"/>
                              <a:gd name="T12" fmla="*/ 0 60000 65536"/>
                              <a:gd name="T13" fmla="*/ 0 60000 65536"/>
                              <a:gd name="T14" fmla="*/ 0 60000 65536"/>
                              <a:gd name="T15" fmla="*/ 0 w 2558796"/>
                              <a:gd name="T16" fmla="*/ 0 h 9144"/>
                              <a:gd name="T17" fmla="*/ 2558796 w 2558796"/>
                              <a:gd name="T18" fmla="*/ 9144 h 9144"/>
                            </a:gdLst>
                            <a:ahLst/>
                            <a:cxnLst>
                              <a:cxn ang="T10">
                                <a:pos x="T0" y="T1"/>
                              </a:cxn>
                              <a:cxn ang="T11">
                                <a:pos x="T2" y="T3"/>
                              </a:cxn>
                              <a:cxn ang="T12">
                                <a:pos x="T4" y="T5"/>
                              </a:cxn>
                              <a:cxn ang="T13">
                                <a:pos x="T6" y="T7"/>
                              </a:cxn>
                              <a:cxn ang="T14">
                                <a:pos x="T8" y="T9"/>
                              </a:cxn>
                            </a:cxnLst>
                            <a:rect l="T15" t="T16" r="T17" b="T18"/>
                            <a:pathLst>
                              <a:path w="2558796" h="9144">
                                <a:moveTo>
                                  <a:pt x="0" y="0"/>
                                </a:moveTo>
                                <a:lnTo>
                                  <a:pt x="2558796" y="0"/>
                                </a:lnTo>
                                <a:lnTo>
                                  <a:pt x="25587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E4BC35" id="Group 6832" o:spid="_x0000_s1026" style="width:433.3pt;height:.4pt;mso-position-horizontal-relative:char;mso-position-vertical-relative:line" coordsize="5503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">
                <v:shape id="Shape 7069" o:spid="_x0000_s1027" style="position:absolute;width:26052;height:91;visibility:visible;mso-wrap-style:square;v-text-anchor:top" coordsize="260527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gsMA&#10;AADaAAAADwAAAGRycy9kb3ducmV2LnhtbESP3WrCQBSE7wu+w3KE3jUbAy0luooKgvZCbPQBDtlj&#10;EpM9G7Kbn769Wyj0cpiZb5jVZjKNGKhzlWUFiygGQZxbXXGh4HY9vH2CcB5ZY2OZFPyQg8169rLC&#10;VNuRv2nIfCEChF2KCkrv21RKl5dk0EW2JQ7e3XYGfZBdIXWHY4CbRiZx/CENVhwWSmxpX1JeZ71R&#10;0H5VFzvu78O2ri8Pa3bnk3vvlXqdT9slCE+T/w//tY9aQQK/V8IN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J+gsMAAADaAAAADwAAAAAAAAAAAAAAAACYAgAAZHJzL2Rv&#10;d25yZXYueG1sUEsFBgAAAAAEAAQA9QAAAIgDAAAAAA==&#10;" path="m,l2605278,r,9144l,9144,,e" fillcolor="black" stroked="f" strokeweight="0">
                  <v:stroke miterlimit="83231f" joinstyle="miter"/>
                  <v:path arrowok="t" o:connecttype="custom" o:connectlocs="0,0;261,0;261,1;0,1;0,0" o:connectangles="0,0,0,0,0" textboxrect="0,0,2605278,9144"/>
                </v:shape>
                <v:shape id="Shape 7070" o:spid="_x0000_s1028" style="position:absolute;left:29443;width:25588;height:91;visibility:visible;mso-wrap-style:square;v-text-anchor:top" coordsize="25587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rXDsEA&#10;AADaAAAADwAAAGRycy9kb3ducmV2LnhtbESPzWrDMBCE74G+g9hCb7XsFEJxo4QSU/AhF6cl58Xa&#10;2qbWypXkv7evCoEch5n5htkfF9OLiZzvLCvIkhQEcW11x42Cr8+P51cQPiBr7C2TgpU8HA8Pmz3m&#10;2s5c0XQJjYgQ9jkqaEMYcil93ZJBn9iBOHrf1hkMUbpGaodzhJtebtN0Jw12HBdaHOjUUv1zGY2C&#10;0Z2nwWSmmK5V0a/jCdcy+1Xq6XF5fwMRaAn38K1dagUv8H8l3gB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q1w7BAAAA2gAAAA8AAAAAAAAAAAAAAAAAmAIAAGRycy9kb3du&#10;cmV2LnhtbFBLBQYAAAAABAAEAPUAAACGAwAAAAA=&#10;" path="m,l2558796,r,9144l,9144,,e" fillcolor="black" stroked="f" strokeweight="0">
                  <v:stroke miterlimit="83231f" joinstyle="miter"/>
                  <v:path arrowok="t" o:connecttype="custom" o:connectlocs="0,0;256,0;256,1;0,1;0,0" o:connectangles="0,0,0,0,0" textboxrect="0,0,2558796,9144"/>
                </v:shape>
                <w10:anchorlock/>
              </v:group>
            </w:pict>
          </mc:Fallback>
        </mc:AlternateContent>
      </w:r>
    </w:p>
    <w:p w:rsidR="004B445E" w:rsidRPr="004B445E" w:rsidRDefault="004B445E" w:rsidP="004B445E">
      <w:pPr>
        <w:spacing w:after="0" w:line="259" w:lineRule="auto"/>
        <w:jc w:val="both"/>
        <w:rPr>
          <w:rFonts w:ascii="Times New Roman" w:hAnsi="Times New Roman" w:cs="Times New Roman"/>
          <w:sz w:val="24"/>
          <w:szCs w:val="24"/>
          <w:lang w:val="sq-AL"/>
        </w:rPr>
      </w:pPr>
      <w:r w:rsidRPr="004B445E">
        <w:rPr>
          <w:rFonts w:ascii="Times New Roman" w:eastAsia="Times New Roman" w:hAnsi="Times New Roman" w:cs="Times New Roman"/>
          <w:sz w:val="24"/>
          <w:szCs w:val="24"/>
          <w:lang w:val="sq-AL"/>
        </w:rPr>
        <w:t>Nënshkrimi</w:t>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eastAsia="Times New Roman" w:hAnsi="Times New Roman" w:cs="Times New Roman"/>
          <w:sz w:val="24"/>
          <w:szCs w:val="24"/>
          <w:lang w:val="sq-AL"/>
        </w:rPr>
        <w:t>Emri dhe titulli (me shkronja të shtypura)</w:t>
      </w:r>
    </w:p>
    <w:p w:rsidR="004B445E" w:rsidRPr="004B445E" w:rsidRDefault="004B445E" w:rsidP="004B445E">
      <w:pPr>
        <w:spacing w:after="0" w:line="259" w:lineRule="auto"/>
        <w:jc w:val="both"/>
        <w:rPr>
          <w:rFonts w:ascii="Times New Roman" w:hAnsi="Times New Roman" w:cs="Times New Roman"/>
          <w:sz w:val="24"/>
          <w:szCs w:val="24"/>
          <w:lang w:val="sq-AL"/>
        </w:rPr>
      </w:pP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r w:rsidRPr="004B445E">
        <w:rPr>
          <w:rFonts w:ascii="Times New Roman" w:hAnsi="Times New Roman" w:cs="Times New Roman"/>
          <w:sz w:val="24"/>
          <w:szCs w:val="24"/>
          <w:lang w:val="sq-AL"/>
        </w:rPr>
        <w:tab/>
      </w:r>
    </w:p>
    <w:p w:rsidR="004B445E" w:rsidRPr="004B445E" w:rsidRDefault="004B445E" w:rsidP="004B445E">
      <w:pPr>
        <w:spacing w:after="0" w:line="259" w:lineRule="auto"/>
        <w:jc w:val="both"/>
        <w:rPr>
          <w:rFonts w:ascii="Times New Roman" w:hAnsi="Times New Roman" w:cs="Times New Roman"/>
          <w:sz w:val="24"/>
          <w:szCs w:val="24"/>
          <w:lang w:val="sq-AL"/>
        </w:rPr>
      </w:pPr>
      <w:r w:rsidRPr="004B445E">
        <w:rPr>
          <w:rFonts w:ascii="Times New Roman" w:eastAsia="Times New Roman" w:hAnsi="Times New Roman" w:cs="Times New Roman"/>
          <w:sz w:val="24"/>
          <w:szCs w:val="24"/>
          <w:lang w:val="sq-AL"/>
        </w:rPr>
        <w:t>Datë:</w:t>
      </w:r>
      <w:r w:rsidRPr="004B445E">
        <w:rPr>
          <w:rFonts w:ascii="Times New Roman" w:eastAsia="Times New Roman" w:hAnsi="Times New Roman" w:cs="Times New Roman"/>
          <w:sz w:val="24"/>
          <w:szCs w:val="24"/>
          <w:lang w:val="sq-AL"/>
        </w:rPr>
        <w:br/>
        <w:t> </w:t>
      </w:r>
    </w:p>
    <w:p w:rsidR="004B445E" w:rsidRPr="004B445E" w:rsidRDefault="004B445E" w:rsidP="004B445E">
      <w:pPr>
        <w:spacing w:after="8"/>
        <w:ind w:left="-15"/>
        <w:jc w:val="both"/>
        <w:rPr>
          <w:rFonts w:ascii="Times New Roman" w:hAnsi="Times New Roman" w:cs="Times New Roman"/>
          <w:sz w:val="24"/>
          <w:szCs w:val="24"/>
          <w:lang w:val="sq-AL"/>
        </w:rPr>
      </w:pPr>
      <w:r w:rsidRPr="004B445E">
        <w:rPr>
          <w:rFonts w:ascii="Times New Roman" w:eastAsia="Times New Roman" w:hAnsi="Times New Roman" w:cs="Times New Roman"/>
          <w:sz w:val="24"/>
          <w:szCs w:val="24"/>
          <w:lang w:val="sq-AL"/>
        </w:rPr>
        <w:t>Aplikimet, pjesë përbërëse e kësaj marrëveshjeje:</w:t>
      </w:r>
    </w:p>
    <w:p w:rsidR="004B445E" w:rsidRPr="004B445E" w:rsidRDefault="004B445E" w:rsidP="004B445E">
      <w:pPr>
        <w:pStyle w:val="ListParagraph"/>
        <w:numPr>
          <w:ilvl w:val="6"/>
          <w:numId w:val="2"/>
        </w:numPr>
        <w:spacing w:before="0" w:after="0" w:line="250" w:lineRule="auto"/>
        <w:ind w:left="786"/>
        <w:rPr>
          <w:rFonts w:cs="Times New Roman"/>
          <w:szCs w:val="24"/>
        </w:rPr>
      </w:pPr>
      <w:r w:rsidRPr="004B445E">
        <w:rPr>
          <w:rFonts w:eastAsia="Times New Roman" w:cs="Times New Roman"/>
          <w:szCs w:val="24"/>
        </w:rPr>
        <w:t>Informacion rreth personave përgjegjës për tregtimin dhe shlyerjen në emër të PPB.</w:t>
      </w:r>
    </w:p>
    <w:p w:rsidR="004B445E" w:rsidRPr="004B445E" w:rsidRDefault="004B445E" w:rsidP="004B445E">
      <w:pPr>
        <w:pStyle w:val="ListParagraph"/>
        <w:numPr>
          <w:ilvl w:val="6"/>
          <w:numId w:val="2"/>
        </w:numPr>
        <w:spacing w:before="0" w:after="0" w:line="250" w:lineRule="auto"/>
        <w:ind w:left="786"/>
        <w:rPr>
          <w:rFonts w:cs="Times New Roman"/>
          <w:szCs w:val="24"/>
        </w:rPr>
      </w:pPr>
      <w:r w:rsidRPr="004B445E">
        <w:rPr>
          <w:rFonts w:eastAsia="Times New Roman" w:cs="Times New Roman"/>
          <w:szCs w:val="24"/>
        </w:rPr>
        <w:t>Kolaterali fillestar.</w:t>
      </w:r>
    </w:p>
    <w:p w:rsidR="004B445E" w:rsidRPr="004B445E" w:rsidRDefault="004B445E" w:rsidP="004B445E">
      <w:pPr>
        <w:pStyle w:val="ListParagraph"/>
        <w:numPr>
          <w:ilvl w:val="6"/>
          <w:numId w:val="2"/>
        </w:numPr>
        <w:spacing w:before="0" w:after="0" w:line="250" w:lineRule="auto"/>
        <w:ind w:left="786"/>
        <w:rPr>
          <w:rFonts w:cs="Times New Roman"/>
          <w:szCs w:val="24"/>
        </w:rPr>
      </w:pPr>
      <w:r w:rsidRPr="004B445E">
        <w:rPr>
          <w:rFonts w:eastAsia="Times New Roman" w:cs="Times New Roman"/>
          <w:szCs w:val="24"/>
        </w:rPr>
        <w:t>Deklarata për kompensimin e detyrimeve.</w:t>
      </w:r>
    </w:p>
    <w:p w:rsidR="004B445E" w:rsidRPr="004B445E" w:rsidRDefault="004B445E" w:rsidP="004B445E">
      <w:pPr>
        <w:pStyle w:val="ListParagraph"/>
        <w:numPr>
          <w:ilvl w:val="6"/>
          <w:numId w:val="2"/>
        </w:numPr>
        <w:spacing w:before="0" w:after="0" w:line="250" w:lineRule="auto"/>
        <w:ind w:left="786"/>
        <w:rPr>
          <w:rFonts w:cs="Times New Roman"/>
          <w:szCs w:val="24"/>
        </w:rPr>
      </w:pPr>
      <w:r w:rsidRPr="004B445E">
        <w:rPr>
          <w:rFonts w:eastAsia="Times New Roman" w:cs="Times New Roman"/>
          <w:szCs w:val="24"/>
        </w:rPr>
        <w:t>Deklarata për pëlqimin për marrjen e faturave elektronike.</w:t>
      </w:r>
    </w:p>
    <w:p w:rsidR="004B445E" w:rsidRPr="004B445E" w:rsidRDefault="004B445E" w:rsidP="004B445E">
      <w:pPr>
        <w:spacing w:after="0" w:line="259" w:lineRule="auto"/>
        <w:jc w:val="both"/>
        <w:rPr>
          <w:rFonts w:ascii="Times New Roman" w:hAnsi="Times New Roman" w:cs="Times New Roman"/>
          <w:sz w:val="24"/>
          <w:szCs w:val="24"/>
          <w:lang w:val="sq-AL"/>
        </w:rPr>
      </w:pPr>
      <w:r w:rsidRPr="004B445E">
        <w:rPr>
          <w:rFonts w:ascii="Times New Roman" w:eastAsia="Times New Roman" w:hAnsi="Times New Roman" w:cs="Times New Roman"/>
          <w:b/>
          <w:i/>
          <w:sz w:val="24"/>
          <w:szCs w:val="24"/>
          <w:lang w:val="sq-AL"/>
        </w:rPr>
        <w:t>Shënim</w:t>
      </w:r>
      <w:r w:rsidRPr="004B445E">
        <w:rPr>
          <w:rFonts w:ascii="Times New Roman" w:eastAsia="Times New Roman" w:hAnsi="Times New Roman" w:cs="Times New Roman"/>
          <w:sz w:val="24"/>
          <w:szCs w:val="24"/>
          <w:lang w:val="sq-AL"/>
        </w:rPr>
        <w:t>:</w:t>
      </w:r>
    </w:p>
    <w:p w:rsidR="004B445E" w:rsidRPr="004B445E" w:rsidRDefault="004B445E" w:rsidP="004B445E">
      <w:pPr>
        <w:spacing w:after="0" w:line="265" w:lineRule="auto"/>
        <w:ind w:left="-5" w:hanging="10"/>
        <w:jc w:val="both"/>
        <w:rPr>
          <w:rFonts w:ascii="Times New Roman" w:eastAsia="Times New Roman" w:hAnsi="Times New Roman" w:cs="Times New Roman"/>
          <w:i/>
          <w:sz w:val="24"/>
          <w:szCs w:val="24"/>
          <w:lang w:val="sq-AL"/>
        </w:rPr>
      </w:pPr>
      <w:r w:rsidRPr="004B445E">
        <w:rPr>
          <w:rFonts w:ascii="Times New Roman" w:eastAsia="Times New Roman" w:hAnsi="Times New Roman" w:cs="Times New Roman"/>
          <w:i/>
          <w:sz w:val="24"/>
          <w:szCs w:val="24"/>
          <w:lang w:val="sq-AL"/>
        </w:rPr>
        <w:t>Marrëveshja nënshkruhet nga përfaqësuesi i PPB në përputhje me certifikatën për regjistrim të dorëzuar në procesin e regjistrimit. OST gjithashtu mund të kërkojë informacion shtesë në rast se</w:t>
      </w:r>
      <w:r>
        <w:rPr>
          <w:rFonts w:ascii="Times New Roman" w:eastAsia="Times New Roman" w:hAnsi="Times New Roman" w:cs="Times New Roman"/>
          <w:i/>
          <w:sz w:val="24"/>
          <w:szCs w:val="24"/>
          <w:lang w:val="sq-AL"/>
        </w:rPr>
        <w:t xml:space="preserve"> </w:t>
      </w:r>
      <w:r w:rsidRPr="004B445E">
        <w:rPr>
          <w:rFonts w:ascii="Times New Roman" w:eastAsia="Times New Roman" w:hAnsi="Times New Roman" w:cs="Times New Roman"/>
          <w:i/>
          <w:sz w:val="24"/>
          <w:szCs w:val="24"/>
          <w:lang w:val="sq-AL"/>
        </w:rPr>
        <w:t>PPB nuk është regjistruar në regjistrin tregtar shqiptar dhe për këtë arsye nuk është në gjendje të paraqesë certifikatën e nevojshme të regjistrimit.</w:t>
      </w:r>
    </w:p>
    <w:p w:rsidR="004B445E" w:rsidRPr="004B445E" w:rsidRDefault="004B445E" w:rsidP="004B445E">
      <w:pPr>
        <w:spacing w:after="0" w:line="265" w:lineRule="auto"/>
        <w:ind w:left="-5" w:hanging="10"/>
        <w:jc w:val="both"/>
        <w:rPr>
          <w:rFonts w:ascii="Times New Roman" w:hAnsi="Times New Roman" w:cs="Times New Roman"/>
          <w:sz w:val="24"/>
          <w:szCs w:val="24"/>
          <w:lang w:val="sq-AL"/>
        </w:rPr>
      </w:pPr>
    </w:p>
    <w:p w:rsidR="00065D36" w:rsidRPr="004B445E" w:rsidRDefault="00065D36" w:rsidP="004B445E">
      <w:pPr>
        <w:jc w:val="both"/>
        <w:rPr>
          <w:rFonts w:ascii="Times New Roman" w:hAnsi="Times New Roman" w:cs="Times New Roman"/>
          <w:sz w:val="24"/>
          <w:szCs w:val="24"/>
          <w:lang w:val="sq-AL"/>
        </w:rPr>
      </w:pPr>
    </w:p>
    <w:sectPr w:rsidR="00065D36" w:rsidRPr="004B44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auto"/>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60807"/>
    <w:multiLevelType w:val="hybridMultilevel"/>
    <w:tmpl w:val="60700922"/>
    <w:lvl w:ilvl="0" w:tplc="74C08838">
      <w:start w:val="9"/>
      <w:numFmt w:val="decimal"/>
      <w:lvlText w:val="%1."/>
      <w:lvlJc w:val="left"/>
      <w:pPr>
        <w:ind w:left="567" w:hanging="567"/>
      </w:pPr>
      <w:rPr>
        <w:rFonts w:ascii="Verdana" w:eastAsia="Verdana" w:hAnsi="Verdana" w:cs="Verdana" w:hint="default"/>
        <w:b w:val="0"/>
        <w:i w:val="0"/>
        <w:strike w:val="0"/>
        <w:dstrike w:val="0"/>
        <w:color w:val="000000"/>
        <w:sz w:val="20"/>
        <w:szCs w:val="20"/>
        <w:u w:val="none" w:color="000000"/>
        <w:bdr w:val="none" w:sz="0" w:space="0" w:color="auto"/>
        <w:shd w:val="clear" w:color="auto" w:fill="auto"/>
        <w:vertAlign w:val="baseline"/>
      </w:rPr>
    </w:lvl>
    <w:lvl w:ilvl="1" w:tplc="E8B85F22">
      <w:start w:val="1"/>
      <w:numFmt w:val="lowerLetter"/>
      <w:lvlText w:val="%2."/>
      <w:lvlJc w:val="left"/>
      <w:pPr>
        <w:ind w:left="12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3286730">
      <w:start w:val="1"/>
      <w:numFmt w:val="lowerRoman"/>
      <w:lvlText w:val="%3"/>
      <w:lvlJc w:val="left"/>
      <w:pPr>
        <w:ind w:left="20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91027F0">
      <w:start w:val="1"/>
      <w:numFmt w:val="decimal"/>
      <w:lvlText w:val="%4"/>
      <w:lvlJc w:val="left"/>
      <w:pPr>
        <w:ind w:left="27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574239E">
      <w:start w:val="1"/>
      <w:numFmt w:val="lowerLetter"/>
      <w:lvlText w:val="%5"/>
      <w:lvlJc w:val="left"/>
      <w:pPr>
        <w:ind w:left="344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7E66254">
      <w:start w:val="1"/>
      <w:numFmt w:val="lowerRoman"/>
      <w:lvlText w:val="%6"/>
      <w:lvlJc w:val="left"/>
      <w:pPr>
        <w:ind w:left="416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C80C00AA">
      <w:start w:val="1"/>
      <w:numFmt w:val="decimal"/>
      <w:lvlText w:val="%7"/>
      <w:lvlJc w:val="left"/>
      <w:pPr>
        <w:ind w:left="48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F64B3C4">
      <w:start w:val="1"/>
      <w:numFmt w:val="lowerLetter"/>
      <w:lvlText w:val="%8"/>
      <w:lvlJc w:val="left"/>
      <w:pPr>
        <w:ind w:left="560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15628D8">
      <w:start w:val="1"/>
      <w:numFmt w:val="lowerRoman"/>
      <w:lvlText w:val="%9"/>
      <w:lvlJc w:val="left"/>
      <w:pPr>
        <w:ind w:left="632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F880FC5"/>
    <w:multiLevelType w:val="hybridMultilevel"/>
    <w:tmpl w:val="2208E676"/>
    <w:lvl w:ilvl="0" w:tplc="610EE2AA">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10FE1A33"/>
    <w:multiLevelType w:val="hybridMultilevel"/>
    <w:tmpl w:val="C6F434D6"/>
    <w:lvl w:ilvl="0" w:tplc="E8B85F22">
      <w:start w:val="1"/>
      <w:numFmt w:val="lowerLetter"/>
      <w:lvlText w:val="%1."/>
      <w:lvlJc w:val="left"/>
      <w:pPr>
        <w:ind w:left="128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 w15:restartNumberingAfterBreak="0">
    <w:nsid w:val="24EB0396"/>
    <w:multiLevelType w:val="multilevel"/>
    <w:tmpl w:val="675001E6"/>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572F5F"/>
    <w:multiLevelType w:val="hybridMultilevel"/>
    <w:tmpl w:val="3FE81CB0"/>
    <w:lvl w:ilvl="0" w:tplc="BA944FAA">
      <w:start w:val="1"/>
      <w:numFmt w:val="decimal"/>
      <w:lvlText w:val="%1."/>
      <w:lvlJc w:val="left"/>
      <w:pPr>
        <w:ind w:left="567" w:hanging="567"/>
      </w:pPr>
      <w:rPr>
        <w:rFonts w:ascii="Verdana" w:eastAsia="Verdana" w:hAnsi="Verdana" w:cs="Verdana" w:hint="default"/>
        <w:b w:val="0"/>
        <w:i w:val="0"/>
        <w:strike w:val="0"/>
        <w:dstrike w:val="0"/>
        <w:color w:val="000000"/>
        <w:sz w:val="20"/>
        <w:szCs w:val="20"/>
        <w:u w:val="none" w:color="000000"/>
        <w:vertAlign w:val="baseli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27371BF7"/>
    <w:multiLevelType w:val="hybridMultilevel"/>
    <w:tmpl w:val="2ABA809C"/>
    <w:lvl w:ilvl="0" w:tplc="041C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 w15:restartNumberingAfterBreak="0">
    <w:nsid w:val="33BB515D"/>
    <w:multiLevelType w:val="hybridMultilevel"/>
    <w:tmpl w:val="26389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4D84CEF"/>
    <w:multiLevelType w:val="hybridMultilevel"/>
    <w:tmpl w:val="3FE81CB0"/>
    <w:lvl w:ilvl="0" w:tplc="BA944FAA">
      <w:start w:val="1"/>
      <w:numFmt w:val="decimal"/>
      <w:lvlText w:val="%1."/>
      <w:lvlJc w:val="left"/>
      <w:pPr>
        <w:ind w:left="567" w:hanging="567"/>
      </w:pPr>
      <w:rPr>
        <w:rFonts w:ascii="Verdana" w:eastAsia="Verdana" w:hAnsi="Verdana" w:cs="Verdana" w:hint="default"/>
        <w:b w:val="0"/>
        <w:i w:val="0"/>
        <w:strike w:val="0"/>
        <w:dstrike w:val="0"/>
        <w:color w:val="000000"/>
        <w:sz w:val="20"/>
        <w:szCs w:val="20"/>
        <w:u w:val="none" w:color="000000"/>
        <w:vertAlign w:val="baseline"/>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4C2D0FC7"/>
    <w:multiLevelType w:val="multilevel"/>
    <w:tmpl w:val="EF38B746"/>
    <w:lvl w:ilvl="0">
      <w:start w:val="1"/>
      <w:numFmt w:val="decimal"/>
      <w:pStyle w:val="Heading1"/>
      <w:lvlText w:val="%1"/>
      <w:lvlJc w:val="left"/>
      <w:pPr>
        <w:ind w:left="432" w:hanging="432"/>
      </w:pPr>
    </w:lvl>
    <w:lvl w:ilvl="1">
      <w:start w:val="1"/>
      <w:numFmt w:val="decimal"/>
      <w:pStyle w:val="Heading2"/>
      <w:lvlText w:val="%1.%2"/>
      <w:lvlJc w:val="left"/>
      <w:pPr>
        <w:ind w:left="756" w:hanging="576"/>
      </w:pPr>
      <w:rPr>
        <w:rFonts w:ascii="Times New Roman Bold" w:hAnsi="Times New Roman Bold"/>
        <w:color w:val="auto"/>
        <w:spacing w:val="2"/>
      </w:rPr>
    </w:lvl>
    <w:lvl w:ilvl="2">
      <w:start w:val="1"/>
      <w:numFmt w:val="decimal"/>
      <w:lvlText w:val="%1.%2.%3"/>
      <w:lvlJc w:val="left"/>
      <w:pPr>
        <w:ind w:left="720" w:hanging="720"/>
      </w:pPr>
      <w:rPr>
        <w:rFonts w:ascii="Times New Roman" w:hAnsi="Times New Roman" w:cs="Times New Roman" w:hint="default"/>
      </w:rPr>
    </w:lvl>
    <w:lvl w:ilvl="3">
      <w:start w:val="1"/>
      <w:numFmt w:val="decimal"/>
      <w:pStyle w:val="Heading4"/>
      <w:lvlText w:val="%1.%2.%3.%4"/>
      <w:lvlJc w:val="left"/>
      <w:pPr>
        <w:ind w:left="122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C5B10BD"/>
    <w:multiLevelType w:val="hybridMultilevel"/>
    <w:tmpl w:val="D0D04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F8F560E"/>
    <w:multiLevelType w:val="hybridMultilevel"/>
    <w:tmpl w:val="EEBE6FB4"/>
    <w:lvl w:ilvl="0" w:tplc="EE724E28">
      <w:start w:val="1"/>
      <w:numFmt w:val="decimal"/>
      <w:lvlText w:val="%1."/>
      <w:lvlJc w:val="left"/>
      <w:pPr>
        <w:ind w:left="567" w:hanging="567"/>
      </w:pPr>
      <w:rPr>
        <w:rFonts w:ascii="Times New Roman" w:eastAsia="Verdana" w:hAnsi="Times New Roman" w:cs="Times New Roman" w:hint="default"/>
        <w:b w:val="0"/>
        <w:i w:val="0"/>
        <w:strike w:val="0"/>
        <w:dstrike w:val="0"/>
        <w:color w:val="000000"/>
        <w:sz w:val="24"/>
        <w:szCs w:val="20"/>
        <w:u w:val="none" w:color="000000"/>
        <w:vertAlign w:val="baseline"/>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56511A95"/>
    <w:multiLevelType w:val="hybridMultilevel"/>
    <w:tmpl w:val="B3462C8A"/>
    <w:lvl w:ilvl="0" w:tplc="C76634BE">
      <w:start w:val="14"/>
      <w:numFmt w:val="decimal"/>
      <w:lvlText w:val="%1."/>
      <w:lvlJc w:val="left"/>
      <w:pPr>
        <w:ind w:left="567" w:hanging="567"/>
      </w:pPr>
      <w:rPr>
        <w:rFonts w:ascii="Verdana" w:eastAsia="Verdana" w:hAnsi="Verdana" w:cs="Verdana" w:hint="default"/>
        <w:b w:val="0"/>
        <w:i w:val="0"/>
        <w:strike w:val="0"/>
        <w:dstrike w:val="0"/>
        <w:color w:val="000000"/>
        <w:sz w:val="20"/>
        <w:szCs w:val="20"/>
        <w:u w:val="none" w:color="000000"/>
        <w:vertAlign w:val="baseline"/>
      </w:rPr>
    </w:lvl>
    <w:lvl w:ilvl="1" w:tplc="EF38ED1A">
      <w:start w:val="1"/>
      <w:numFmt w:val="lowerLetter"/>
      <w:lvlText w:val="%2."/>
      <w:lvlJc w:val="left"/>
      <w:pPr>
        <w:ind w:left="1440" w:hanging="360"/>
      </w:pPr>
      <w:rPr>
        <w:rFonts w:hint="default"/>
      </w:rPr>
    </w:lvl>
    <w:lvl w:ilvl="2" w:tplc="1A08F6DA">
      <w:start w:val="1"/>
      <w:numFmt w:val="upperRoman"/>
      <w:lvlText w:val="%3."/>
      <w:lvlJc w:val="left"/>
      <w:pPr>
        <w:ind w:left="720" w:hanging="72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587836E4"/>
    <w:multiLevelType w:val="hybridMultilevel"/>
    <w:tmpl w:val="F4946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486BDF"/>
    <w:multiLevelType w:val="hybridMultilevel"/>
    <w:tmpl w:val="DA7A1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8B4E01"/>
    <w:multiLevelType w:val="hybridMultilevel"/>
    <w:tmpl w:val="BB80A148"/>
    <w:lvl w:ilvl="0" w:tplc="822A2512">
      <w:start w:val="1"/>
      <w:numFmt w:val="decimal"/>
      <w:lvlText w:val="%1."/>
      <w:lvlJc w:val="left"/>
      <w:pPr>
        <w:ind w:left="567" w:hanging="567"/>
      </w:pPr>
      <w:rPr>
        <w:rFonts w:ascii="Verdana" w:eastAsia="Verdana" w:hAnsi="Verdana" w:cs="Verdana" w:hint="default"/>
        <w:b w:val="0"/>
        <w:i w:val="0"/>
        <w:strike w:val="0"/>
        <w:dstrike w:val="0"/>
        <w:color w:val="000000"/>
        <w:sz w:val="20"/>
        <w:szCs w:val="20"/>
        <w:u w:val="none" w:color="000000"/>
        <w:vertAlign w:val="baseline"/>
      </w:rPr>
    </w:lvl>
    <w:lvl w:ilvl="1" w:tplc="041C0019">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66174BEB"/>
    <w:multiLevelType w:val="hybridMultilevel"/>
    <w:tmpl w:val="52F6221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9EB23B3"/>
    <w:multiLevelType w:val="hybridMultilevel"/>
    <w:tmpl w:val="20B8B9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FB1253"/>
    <w:multiLevelType w:val="hybridMultilevel"/>
    <w:tmpl w:val="53D6A2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3"/>
  </w:num>
  <w:num w:numId="3">
    <w:abstractNumId w:val="11"/>
  </w:num>
  <w:num w:numId="4">
    <w:abstractNumId w:val="7"/>
  </w:num>
  <w:num w:numId="5">
    <w:abstractNumId w:val="14"/>
  </w:num>
  <w:num w:numId="6">
    <w:abstractNumId w:val="10"/>
  </w:num>
  <w:num w:numId="7">
    <w:abstractNumId w:val="4"/>
  </w:num>
  <w:num w:numId="8">
    <w:abstractNumId w:val="1"/>
  </w:num>
  <w:num w:numId="9">
    <w:abstractNumId w:val="2"/>
  </w:num>
  <w:num w:numId="10">
    <w:abstractNumId w:val="5"/>
  </w:num>
  <w:num w:numId="11">
    <w:abstractNumId w:val="15"/>
  </w:num>
  <w:num w:numId="12">
    <w:abstractNumId w:val="13"/>
  </w:num>
  <w:num w:numId="13">
    <w:abstractNumId w:val="16"/>
  </w:num>
  <w:num w:numId="14">
    <w:abstractNumId w:val="17"/>
  </w:num>
  <w:num w:numId="15">
    <w:abstractNumId w:val="9"/>
  </w:num>
  <w:num w:numId="16">
    <w:abstractNumId w:val="6"/>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5E"/>
    <w:rsid w:val="00065D36"/>
    <w:rsid w:val="000A629A"/>
    <w:rsid w:val="003F1CC6"/>
    <w:rsid w:val="004B445E"/>
    <w:rsid w:val="007F3BEB"/>
    <w:rsid w:val="00850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6E4264-C1EF-4735-A2C2-964FBA66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2" w:unhideWhenUsed="1" w:qFormat="1"/>
    <w:lsdException w:name="heading 5" w:semiHidden="1" w:uiPriority="9" w:unhideWhenUsed="1" w:qFormat="1"/>
    <w:lsdException w:name="heading 6" w:semiHidden="1" w:uiPriority="0"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Heading 1 - LDK,Επικεφαλίδα 1 Char,Headline,ELI PD H1,Hoofdstuk,ΔΞ-Άρθρο,ÄÎ-¢ñèñï,Heading 1 Char1 Char,Heading 1 Char Char Char,EX Heading 1,Exr Heading 1,Exergia Heading 1,1,FIAS,ARTICULO 1º,h1,Section Heading,HEADING 1,Section,LetHead1"/>
    <w:basedOn w:val="Normal"/>
    <w:next w:val="Normal"/>
    <w:link w:val="Heading1Char"/>
    <w:uiPriority w:val="2"/>
    <w:qFormat/>
    <w:rsid w:val="004B445E"/>
    <w:pPr>
      <w:numPr>
        <w:numId w:val="1"/>
      </w:numPr>
      <w:spacing w:before="480" w:after="0"/>
      <w:contextualSpacing/>
      <w:outlineLvl w:val="0"/>
    </w:pPr>
    <w:rPr>
      <w:rFonts w:ascii="Times New Roman" w:eastAsiaTheme="majorEastAsia" w:hAnsi="Times New Roman" w:cstheme="majorBidi"/>
      <w:b/>
      <w:bCs/>
      <w:sz w:val="28"/>
      <w:szCs w:val="28"/>
      <w:lang w:val="sq-AL"/>
    </w:rPr>
  </w:style>
  <w:style w:type="paragraph" w:styleId="Heading2">
    <w:name w:val="heading 2"/>
    <w:aliases w:val="Heading 2 - LDK,ELI PD H2,Overskrift 2- ref,EX Heading 2,Exr Heading 2,Exergia Heading 2,Subchapter 1.1,Chapter Indo,Major,título 2,título 21,título 22,título 23,título 24,título 25,Titulo 2,H2-Heading 2,2,Header 2,l2,Header2,h2,22,Titre2"/>
    <w:basedOn w:val="Normal"/>
    <w:next w:val="Normal"/>
    <w:link w:val="Heading2Char"/>
    <w:uiPriority w:val="9"/>
    <w:unhideWhenUsed/>
    <w:qFormat/>
    <w:rsid w:val="004B445E"/>
    <w:pPr>
      <w:numPr>
        <w:ilvl w:val="1"/>
        <w:numId w:val="1"/>
      </w:numPr>
      <w:spacing w:before="200" w:after="0"/>
      <w:ind w:left="576"/>
      <w:jc w:val="both"/>
      <w:outlineLvl w:val="1"/>
    </w:pPr>
    <w:rPr>
      <w:rFonts w:ascii="Times New Roman" w:eastAsiaTheme="majorEastAsia" w:hAnsi="Times New Roman" w:cstheme="majorBidi"/>
      <w:b/>
      <w:bCs/>
      <w:sz w:val="26"/>
      <w:szCs w:val="26"/>
      <w:lang w:val="sq-AL"/>
    </w:rPr>
  </w:style>
  <w:style w:type="paragraph" w:styleId="Heading4">
    <w:name w:val="heading 4"/>
    <w:basedOn w:val="Normal"/>
    <w:next w:val="Normal"/>
    <w:link w:val="Heading4Char"/>
    <w:uiPriority w:val="2"/>
    <w:unhideWhenUsed/>
    <w:qFormat/>
    <w:rsid w:val="004B445E"/>
    <w:pPr>
      <w:numPr>
        <w:ilvl w:val="3"/>
        <w:numId w:val="1"/>
      </w:numPr>
      <w:spacing w:before="200" w:after="0"/>
      <w:jc w:val="both"/>
      <w:outlineLvl w:val="3"/>
    </w:pPr>
    <w:rPr>
      <w:rFonts w:asciiTheme="majorHAnsi" w:eastAsiaTheme="majorEastAsia" w:hAnsiTheme="majorHAnsi" w:cstheme="majorBidi"/>
      <w:bCs/>
      <w:iCs/>
      <w:sz w:val="24"/>
      <w:lang w:val="sq-AL"/>
    </w:rPr>
  </w:style>
  <w:style w:type="paragraph" w:styleId="Heading5">
    <w:name w:val="heading 5"/>
    <w:basedOn w:val="Normal"/>
    <w:next w:val="Normal"/>
    <w:link w:val="Heading5Char"/>
    <w:uiPriority w:val="9"/>
    <w:unhideWhenUsed/>
    <w:qFormat/>
    <w:rsid w:val="004B445E"/>
    <w:pPr>
      <w:numPr>
        <w:ilvl w:val="4"/>
        <w:numId w:val="1"/>
      </w:numPr>
      <w:spacing w:before="200" w:after="0"/>
      <w:jc w:val="both"/>
      <w:outlineLvl w:val="4"/>
    </w:pPr>
    <w:rPr>
      <w:rFonts w:asciiTheme="majorHAnsi" w:eastAsiaTheme="majorEastAsia" w:hAnsiTheme="majorHAnsi" w:cstheme="majorBidi"/>
      <w:b/>
      <w:bCs/>
      <w:color w:val="7F7F7F" w:themeColor="text1" w:themeTint="80"/>
      <w:sz w:val="24"/>
      <w:lang w:val="sq-AL"/>
    </w:rPr>
  </w:style>
  <w:style w:type="paragraph" w:styleId="Heading6">
    <w:name w:val="heading 6"/>
    <w:aliases w:val="level6,level 6"/>
    <w:basedOn w:val="Normal"/>
    <w:next w:val="Normal"/>
    <w:link w:val="Heading6Char"/>
    <w:unhideWhenUsed/>
    <w:qFormat/>
    <w:rsid w:val="004B445E"/>
    <w:pPr>
      <w:numPr>
        <w:ilvl w:val="5"/>
        <w:numId w:val="1"/>
      </w:numPr>
      <w:spacing w:before="120" w:after="0" w:line="271" w:lineRule="auto"/>
      <w:jc w:val="both"/>
      <w:outlineLvl w:val="5"/>
    </w:pPr>
    <w:rPr>
      <w:rFonts w:asciiTheme="majorHAnsi" w:eastAsiaTheme="majorEastAsia" w:hAnsiTheme="majorHAnsi" w:cstheme="majorBidi"/>
      <w:b/>
      <w:bCs/>
      <w:i/>
      <w:iCs/>
      <w:color w:val="7F7F7F" w:themeColor="text1" w:themeTint="80"/>
      <w:sz w:val="24"/>
      <w:lang w:val="sq-AL"/>
    </w:rPr>
  </w:style>
  <w:style w:type="paragraph" w:styleId="Heading7">
    <w:name w:val="heading 7"/>
    <w:aliases w:val="level1noheading,level1-noHeading"/>
    <w:basedOn w:val="Normal"/>
    <w:next w:val="Normal"/>
    <w:link w:val="Heading7Char"/>
    <w:uiPriority w:val="2"/>
    <w:unhideWhenUsed/>
    <w:qFormat/>
    <w:rsid w:val="004B445E"/>
    <w:pPr>
      <w:numPr>
        <w:ilvl w:val="6"/>
        <w:numId w:val="1"/>
      </w:numPr>
      <w:spacing w:before="120" w:after="0"/>
      <w:jc w:val="both"/>
      <w:outlineLvl w:val="6"/>
    </w:pPr>
    <w:rPr>
      <w:rFonts w:asciiTheme="majorHAnsi" w:eastAsiaTheme="majorEastAsia" w:hAnsiTheme="majorHAnsi" w:cstheme="majorBidi"/>
      <w:i/>
      <w:iCs/>
      <w:sz w:val="24"/>
      <w:lang w:val="sq-AL"/>
    </w:rPr>
  </w:style>
  <w:style w:type="paragraph" w:styleId="Heading8">
    <w:name w:val="heading 8"/>
    <w:aliases w:val="level2(a)"/>
    <w:basedOn w:val="Normal"/>
    <w:next w:val="Normal"/>
    <w:link w:val="Heading8Char"/>
    <w:uiPriority w:val="2"/>
    <w:unhideWhenUsed/>
    <w:qFormat/>
    <w:rsid w:val="004B445E"/>
    <w:pPr>
      <w:numPr>
        <w:ilvl w:val="7"/>
        <w:numId w:val="1"/>
      </w:numPr>
      <w:spacing w:before="120" w:after="0"/>
      <w:jc w:val="both"/>
      <w:outlineLvl w:val="7"/>
    </w:pPr>
    <w:rPr>
      <w:rFonts w:asciiTheme="majorHAnsi" w:eastAsiaTheme="majorEastAsia" w:hAnsiTheme="majorHAnsi" w:cstheme="majorBidi"/>
      <w:sz w:val="20"/>
      <w:szCs w:val="20"/>
      <w:lang w:val="sq-AL"/>
    </w:rPr>
  </w:style>
  <w:style w:type="paragraph" w:styleId="Heading9">
    <w:name w:val="heading 9"/>
    <w:aliases w:val="level3(i)"/>
    <w:basedOn w:val="Normal"/>
    <w:next w:val="Normal"/>
    <w:link w:val="Heading9Char"/>
    <w:uiPriority w:val="2"/>
    <w:unhideWhenUsed/>
    <w:qFormat/>
    <w:rsid w:val="004B445E"/>
    <w:pPr>
      <w:numPr>
        <w:ilvl w:val="8"/>
        <w:numId w:val="1"/>
      </w:numPr>
      <w:spacing w:before="120" w:after="0"/>
      <w:jc w:val="both"/>
      <w:outlineLvl w:val="8"/>
    </w:pPr>
    <w:rPr>
      <w:rFonts w:asciiTheme="majorHAnsi" w:eastAsiaTheme="majorEastAsia" w:hAnsiTheme="majorHAnsi" w:cstheme="majorBidi"/>
      <w:i/>
      <w:iCs/>
      <w:spacing w:val="5"/>
      <w:sz w:val="20"/>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 LDK Char,Επικεφαλίδα 1 Char Char,Headline Char,ELI PD H1 Char,Hoofdstuk Char,ΔΞ-Άρθρο Char,ÄÎ-¢ñèñï Char,Heading 1 Char1 Char Char,Heading 1 Char Char Char Char,EX Heading 1 Char,Exr Heading 1 Char,Exergia Heading 1 Char"/>
    <w:basedOn w:val="DefaultParagraphFont"/>
    <w:link w:val="Heading1"/>
    <w:uiPriority w:val="2"/>
    <w:rsid w:val="004B445E"/>
    <w:rPr>
      <w:rFonts w:ascii="Times New Roman" w:eastAsiaTheme="majorEastAsia" w:hAnsi="Times New Roman" w:cstheme="majorBidi"/>
      <w:b/>
      <w:bCs/>
      <w:sz w:val="28"/>
      <w:szCs w:val="28"/>
      <w:lang w:val="sq-AL"/>
    </w:rPr>
  </w:style>
  <w:style w:type="character" w:customStyle="1" w:styleId="Heading2Char">
    <w:name w:val="Heading 2 Char"/>
    <w:aliases w:val="Heading 2 - LDK Char,ELI PD H2 Char,Overskrift 2- ref Char,EX Heading 2 Char,Exr Heading 2 Char,Exergia Heading 2 Char,Subchapter 1.1 Char,Chapter Indo Char,Major Char,título 2 Char,título 21 Char,título 22 Char,título 23 Char,2 Char"/>
    <w:basedOn w:val="DefaultParagraphFont"/>
    <w:link w:val="Heading2"/>
    <w:uiPriority w:val="9"/>
    <w:rsid w:val="004B445E"/>
    <w:rPr>
      <w:rFonts w:ascii="Times New Roman" w:eastAsiaTheme="majorEastAsia" w:hAnsi="Times New Roman" w:cstheme="majorBidi"/>
      <w:b/>
      <w:bCs/>
      <w:sz w:val="26"/>
      <w:szCs w:val="26"/>
      <w:lang w:val="sq-AL"/>
    </w:rPr>
  </w:style>
  <w:style w:type="character" w:customStyle="1" w:styleId="Heading4Char">
    <w:name w:val="Heading 4 Char"/>
    <w:basedOn w:val="DefaultParagraphFont"/>
    <w:link w:val="Heading4"/>
    <w:uiPriority w:val="2"/>
    <w:rsid w:val="004B445E"/>
    <w:rPr>
      <w:rFonts w:asciiTheme="majorHAnsi" w:eastAsiaTheme="majorEastAsia" w:hAnsiTheme="majorHAnsi" w:cstheme="majorBidi"/>
      <w:bCs/>
      <w:iCs/>
      <w:sz w:val="24"/>
      <w:lang w:val="sq-AL"/>
    </w:rPr>
  </w:style>
  <w:style w:type="character" w:customStyle="1" w:styleId="Heading5Char">
    <w:name w:val="Heading 5 Char"/>
    <w:basedOn w:val="DefaultParagraphFont"/>
    <w:link w:val="Heading5"/>
    <w:uiPriority w:val="9"/>
    <w:rsid w:val="004B445E"/>
    <w:rPr>
      <w:rFonts w:asciiTheme="majorHAnsi" w:eastAsiaTheme="majorEastAsia" w:hAnsiTheme="majorHAnsi" w:cstheme="majorBidi"/>
      <w:b/>
      <w:bCs/>
      <w:color w:val="7F7F7F" w:themeColor="text1" w:themeTint="80"/>
      <w:sz w:val="24"/>
      <w:lang w:val="sq-AL"/>
    </w:rPr>
  </w:style>
  <w:style w:type="character" w:customStyle="1" w:styleId="Heading6Char">
    <w:name w:val="Heading 6 Char"/>
    <w:aliases w:val="level6 Char,level 6 Char"/>
    <w:basedOn w:val="DefaultParagraphFont"/>
    <w:link w:val="Heading6"/>
    <w:rsid w:val="004B445E"/>
    <w:rPr>
      <w:rFonts w:asciiTheme="majorHAnsi" w:eastAsiaTheme="majorEastAsia" w:hAnsiTheme="majorHAnsi" w:cstheme="majorBidi"/>
      <w:b/>
      <w:bCs/>
      <w:i/>
      <w:iCs/>
      <w:color w:val="7F7F7F" w:themeColor="text1" w:themeTint="80"/>
      <w:sz w:val="24"/>
      <w:lang w:val="sq-AL"/>
    </w:rPr>
  </w:style>
  <w:style w:type="character" w:customStyle="1" w:styleId="Heading7Char">
    <w:name w:val="Heading 7 Char"/>
    <w:aliases w:val="level1noheading Char,level1-noHeading Char"/>
    <w:basedOn w:val="DefaultParagraphFont"/>
    <w:link w:val="Heading7"/>
    <w:uiPriority w:val="2"/>
    <w:rsid w:val="004B445E"/>
    <w:rPr>
      <w:rFonts w:asciiTheme="majorHAnsi" w:eastAsiaTheme="majorEastAsia" w:hAnsiTheme="majorHAnsi" w:cstheme="majorBidi"/>
      <w:i/>
      <w:iCs/>
      <w:sz w:val="24"/>
      <w:lang w:val="sq-AL"/>
    </w:rPr>
  </w:style>
  <w:style w:type="character" w:customStyle="1" w:styleId="Heading8Char">
    <w:name w:val="Heading 8 Char"/>
    <w:aliases w:val="level2(a) Char"/>
    <w:basedOn w:val="DefaultParagraphFont"/>
    <w:link w:val="Heading8"/>
    <w:uiPriority w:val="2"/>
    <w:rsid w:val="004B445E"/>
    <w:rPr>
      <w:rFonts w:asciiTheme="majorHAnsi" w:eastAsiaTheme="majorEastAsia" w:hAnsiTheme="majorHAnsi" w:cstheme="majorBidi"/>
      <w:sz w:val="20"/>
      <w:szCs w:val="20"/>
      <w:lang w:val="sq-AL"/>
    </w:rPr>
  </w:style>
  <w:style w:type="character" w:customStyle="1" w:styleId="Heading9Char">
    <w:name w:val="Heading 9 Char"/>
    <w:aliases w:val="level3(i) Char"/>
    <w:basedOn w:val="DefaultParagraphFont"/>
    <w:link w:val="Heading9"/>
    <w:uiPriority w:val="2"/>
    <w:rsid w:val="004B445E"/>
    <w:rPr>
      <w:rFonts w:asciiTheme="majorHAnsi" w:eastAsiaTheme="majorEastAsia" w:hAnsiTheme="majorHAnsi" w:cstheme="majorBidi"/>
      <w:i/>
      <w:iCs/>
      <w:spacing w:val="5"/>
      <w:sz w:val="20"/>
      <w:szCs w:val="20"/>
      <w:lang w:val="sq-AL"/>
    </w:rPr>
  </w:style>
  <w:style w:type="paragraph" w:styleId="ListParagraph">
    <w:name w:val="List Paragraph"/>
    <w:aliases w:val="Indent Paragraph,Numbered Para 1,Dot pt,No Spacing1,List Paragraph Char Char Char,Indicator Text,Bullet Points,MAIN CONTENT,List Paragraph12,F5 List Paragraph,Heading 2_sj,1st level - Bullet List Paragraph,Lettre d'introduction,lp1"/>
    <w:basedOn w:val="Normal"/>
    <w:link w:val="ListParagraphChar"/>
    <w:uiPriority w:val="34"/>
    <w:qFormat/>
    <w:rsid w:val="004B445E"/>
    <w:pPr>
      <w:spacing w:before="120" w:after="240"/>
      <w:ind w:left="720"/>
      <w:contextualSpacing/>
      <w:jc w:val="both"/>
    </w:pPr>
    <w:rPr>
      <w:rFonts w:ascii="Times New Roman" w:hAnsi="Times New Roman"/>
      <w:sz w:val="24"/>
      <w:lang w:val="sq-AL"/>
    </w:rPr>
  </w:style>
  <w:style w:type="paragraph" w:customStyle="1" w:styleId="LDKbody">
    <w:name w:val="LDK body"/>
    <w:basedOn w:val="Normal"/>
    <w:link w:val="LDKbodyChar"/>
    <w:qFormat/>
    <w:rsid w:val="004B445E"/>
    <w:pPr>
      <w:spacing w:before="120" w:after="240"/>
      <w:jc w:val="both"/>
    </w:pPr>
    <w:rPr>
      <w:rFonts w:ascii="Times New Roman" w:eastAsia="Times New Roman" w:hAnsi="Times New Roman" w:cs="Times New Roman"/>
      <w:spacing w:val="2"/>
      <w:sz w:val="24"/>
      <w:szCs w:val="20"/>
      <w:lang w:eastAsia="el-GR" w:bidi="ar-QA"/>
    </w:rPr>
  </w:style>
  <w:style w:type="character" w:customStyle="1" w:styleId="LDKbodyChar">
    <w:name w:val="LDK body Char"/>
    <w:link w:val="LDKbody"/>
    <w:rsid w:val="004B445E"/>
    <w:rPr>
      <w:rFonts w:ascii="Times New Roman" w:eastAsia="Times New Roman" w:hAnsi="Times New Roman" w:cs="Times New Roman"/>
      <w:spacing w:val="2"/>
      <w:sz w:val="24"/>
      <w:szCs w:val="20"/>
      <w:lang w:eastAsia="el-GR" w:bidi="ar-QA"/>
    </w:rPr>
  </w:style>
  <w:style w:type="character" w:customStyle="1" w:styleId="ListParagraphChar">
    <w:name w:val="List Paragraph Char"/>
    <w:aliases w:val="Indent Paragraph Char,Numbered Para 1 Char,Dot pt Char,No Spacing1 Char,List Paragraph Char Char Char Char,Indicator Text Char,Bullet Points Char,MAIN CONTENT Char,List Paragraph12 Char,F5 List Paragraph Char,Heading 2_sj Char"/>
    <w:link w:val="ListParagraph"/>
    <w:uiPriority w:val="34"/>
    <w:qFormat/>
    <w:rsid w:val="004B445E"/>
    <w:rPr>
      <w:rFonts w:ascii="Times New Roman" w:hAnsi="Times New Roman"/>
      <w:sz w:val="24"/>
      <w:lang w:val="sq-AL"/>
    </w:rPr>
  </w:style>
  <w:style w:type="character" w:customStyle="1" w:styleId="tlid-translation">
    <w:name w:val="tlid-translation"/>
    <w:basedOn w:val="DefaultParagraphFont"/>
    <w:rsid w:val="004B44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1361</Words>
  <Characters>7760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Erva Kodra</cp:lastModifiedBy>
  <cp:revision>2</cp:revision>
  <cp:lastPrinted>2019-04-26T09:53:00Z</cp:lastPrinted>
  <dcterms:created xsi:type="dcterms:W3CDTF">2019-06-05T12:00:00Z</dcterms:created>
  <dcterms:modified xsi:type="dcterms:W3CDTF">2019-06-05T12:00:00Z</dcterms:modified>
</cp:coreProperties>
</file>