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B7" w:rsidRDefault="00E766B7" w:rsidP="00E43B37">
      <w:pPr>
        <w:tabs>
          <w:tab w:val="left" w:pos="2730"/>
        </w:tabs>
        <w:spacing w:line="276" w:lineRule="auto"/>
        <w:jc w:val="both"/>
        <w:rPr>
          <w:b/>
          <w:lang w:eastAsia="en-US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5408" behindDoc="1" locked="0" layoutInCell="1" allowOverlap="1" wp14:anchorId="0D9A8FAF" wp14:editId="7D86E4EB">
            <wp:simplePos x="0" y="0"/>
            <wp:positionH relativeFrom="column">
              <wp:posOffset>-82550</wp:posOffset>
            </wp:positionH>
            <wp:positionV relativeFrom="paragraph">
              <wp:posOffset>-431800</wp:posOffset>
            </wp:positionV>
            <wp:extent cx="1734820" cy="930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6B7" w:rsidRPr="00CF5974" w:rsidRDefault="00E766B7" w:rsidP="00E43B37">
      <w:pPr>
        <w:tabs>
          <w:tab w:val="left" w:pos="2730"/>
        </w:tabs>
        <w:spacing w:line="276" w:lineRule="auto"/>
        <w:jc w:val="both"/>
        <w:rPr>
          <w:b/>
          <w:color w:val="000000" w:themeColor="text1"/>
          <w:sz w:val="28"/>
          <w:szCs w:val="28"/>
          <w:lang w:eastAsia="en-US"/>
        </w:rPr>
      </w:pPr>
    </w:p>
    <w:p w:rsidR="00E766B7" w:rsidRPr="00CF5974" w:rsidRDefault="00E766B7" w:rsidP="00E43B37">
      <w:pPr>
        <w:tabs>
          <w:tab w:val="left" w:pos="2730"/>
        </w:tabs>
        <w:spacing w:line="276" w:lineRule="auto"/>
        <w:jc w:val="both"/>
        <w:rPr>
          <w:b/>
          <w:color w:val="000000" w:themeColor="text1"/>
          <w:lang w:eastAsia="en-US"/>
        </w:rPr>
      </w:pPr>
    </w:p>
    <w:p w:rsidR="00741E07" w:rsidRPr="00CF5974" w:rsidRDefault="00741E07" w:rsidP="00E43B37">
      <w:pPr>
        <w:tabs>
          <w:tab w:val="left" w:pos="2730"/>
        </w:tabs>
        <w:spacing w:line="276" w:lineRule="auto"/>
        <w:jc w:val="both"/>
        <w:rPr>
          <w:color w:val="000000" w:themeColor="text1"/>
          <w:lang w:eastAsia="en-US"/>
        </w:rPr>
      </w:pPr>
      <w:r w:rsidRPr="00CF5974">
        <w:rPr>
          <w:color w:val="000000" w:themeColor="text1"/>
          <w:lang w:eastAsia="en-US"/>
        </w:rPr>
        <w:tab/>
      </w:r>
      <w:r w:rsidRPr="00CF5974">
        <w:rPr>
          <w:color w:val="000000" w:themeColor="text1"/>
          <w:lang w:eastAsia="en-US"/>
        </w:rPr>
        <w:tab/>
      </w:r>
      <w:r w:rsidRPr="00CF5974">
        <w:rPr>
          <w:color w:val="000000" w:themeColor="text1"/>
          <w:lang w:eastAsia="en-US"/>
        </w:rPr>
        <w:tab/>
        <w:t xml:space="preserve">  </w:t>
      </w:r>
      <w:r w:rsidR="00FF3827">
        <w:rPr>
          <w:color w:val="000000" w:themeColor="text1"/>
          <w:lang w:eastAsia="en-US"/>
        </w:rPr>
        <w:t xml:space="preserve">    </w:t>
      </w:r>
      <w:r>
        <w:rPr>
          <w:color w:val="000000" w:themeColor="text1"/>
          <w:lang w:eastAsia="en-US"/>
        </w:rPr>
        <w:t xml:space="preserve">   </w:t>
      </w:r>
      <w:r w:rsidR="00FF3827">
        <w:rPr>
          <w:color w:val="000000" w:themeColor="text1"/>
          <w:lang w:eastAsia="en-US"/>
        </w:rPr>
        <w:t xml:space="preserve">  </w:t>
      </w:r>
      <w:r w:rsidR="003858A2">
        <w:rPr>
          <w:color w:val="000000" w:themeColor="text1"/>
          <w:lang w:eastAsia="en-US"/>
        </w:rPr>
        <w:t xml:space="preserve">                        </w:t>
      </w:r>
      <w:r w:rsidR="00FF3827">
        <w:rPr>
          <w:color w:val="000000" w:themeColor="text1"/>
          <w:lang w:eastAsia="en-US"/>
        </w:rPr>
        <w:t xml:space="preserve">  </w:t>
      </w:r>
      <w:r>
        <w:rPr>
          <w:color w:val="000000" w:themeColor="text1"/>
          <w:lang w:eastAsia="en-US"/>
        </w:rPr>
        <w:t xml:space="preserve">  </w:t>
      </w:r>
      <w:r w:rsidR="00466591">
        <w:rPr>
          <w:color w:val="000000" w:themeColor="text1"/>
          <w:lang w:eastAsia="en-US"/>
        </w:rPr>
        <w:t xml:space="preserve">          Tiranë, më 26.05</w:t>
      </w:r>
      <w:r w:rsidR="00085671">
        <w:rPr>
          <w:color w:val="000000" w:themeColor="text1"/>
          <w:lang w:eastAsia="en-US"/>
        </w:rPr>
        <w:t>.2021</w:t>
      </w:r>
    </w:p>
    <w:p w:rsidR="00741E07" w:rsidRDefault="00741E07" w:rsidP="00E43B37">
      <w:pPr>
        <w:tabs>
          <w:tab w:val="left" w:pos="2730"/>
        </w:tabs>
        <w:spacing w:line="276" w:lineRule="auto"/>
        <w:jc w:val="both"/>
        <w:rPr>
          <w:b/>
          <w:color w:val="000000" w:themeColor="text1"/>
          <w:lang w:eastAsia="en-US"/>
        </w:rPr>
      </w:pPr>
    </w:p>
    <w:p w:rsidR="00F00AB0" w:rsidRDefault="00F00AB0" w:rsidP="00E43B37">
      <w:pPr>
        <w:tabs>
          <w:tab w:val="left" w:pos="2730"/>
        </w:tabs>
        <w:spacing w:line="276" w:lineRule="auto"/>
        <w:jc w:val="both"/>
        <w:rPr>
          <w:b/>
          <w:color w:val="000000" w:themeColor="text1"/>
          <w:lang w:eastAsia="en-US"/>
        </w:rPr>
      </w:pPr>
    </w:p>
    <w:p w:rsidR="00741E07" w:rsidRPr="00CF5974" w:rsidRDefault="00746E9E" w:rsidP="004E10C3">
      <w:pPr>
        <w:tabs>
          <w:tab w:val="left" w:pos="2730"/>
        </w:tabs>
        <w:spacing w:line="276" w:lineRule="auto"/>
        <w:jc w:val="center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 xml:space="preserve">Procedurë </w:t>
      </w:r>
      <w:r w:rsidR="00C64B88">
        <w:rPr>
          <w:b/>
          <w:color w:val="000000" w:themeColor="text1"/>
          <w:lang w:eastAsia="en-US"/>
        </w:rPr>
        <w:t>p</w:t>
      </w:r>
      <w:r>
        <w:rPr>
          <w:b/>
          <w:color w:val="000000" w:themeColor="text1"/>
          <w:lang w:eastAsia="en-US"/>
        </w:rPr>
        <w:t>ë</w:t>
      </w:r>
      <w:r w:rsidR="00C64B88">
        <w:rPr>
          <w:b/>
          <w:color w:val="000000" w:themeColor="text1"/>
          <w:lang w:eastAsia="en-US"/>
        </w:rPr>
        <w:t xml:space="preserve">r </w:t>
      </w:r>
      <w:r w:rsidR="00F00AB0">
        <w:rPr>
          <w:b/>
          <w:color w:val="000000" w:themeColor="text1"/>
          <w:lang w:eastAsia="en-US"/>
        </w:rPr>
        <w:t xml:space="preserve">zbatimin </w:t>
      </w:r>
      <w:r w:rsidR="00C64B88">
        <w:rPr>
          <w:b/>
          <w:color w:val="000000" w:themeColor="text1"/>
          <w:lang w:eastAsia="en-US"/>
        </w:rPr>
        <w:t>e komponentes nxit</w:t>
      </w:r>
      <w:r>
        <w:rPr>
          <w:b/>
          <w:color w:val="000000" w:themeColor="text1"/>
          <w:lang w:eastAsia="en-US"/>
        </w:rPr>
        <w:t>ë</w:t>
      </w:r>
      <w:r w:rsidR="00C64B88">
        <w:rPr>
          <w:b/>
          <w:color w:val="000000" w:themeColor="text1"/>
          <w:lang w:eastAsia="en-US"/>
        </w:rPr>
        <w:t>se</w:t>
      </w:r>
    </w:p>
    <w:p w:rsidR="00A3044A" w:rsidRDefault="00A3044A" w:rsidP="004E10C3">
      <w:pPr>
        <w:tabs>
          <w:tab w:val="left" w:pos="2730"/>
        </w:tabs>
        <w:spacing w:line="276" w:lineRule="auto"/>
        <w:jc w:val="both"/>
        <w:rPr>
          <w:color w:val="000000" w:themeColor="text1"/>
          <w:lang w:eastAsia="en-US"/>
        </w:rPr>
      </w:pPr>
    </w:p>
    <w:p w:rsidR="00282772" w:rsidRDefault="00282772" w:rsidP="007D1413">
      <w:pPr>
        <w:tabs>
          <w:tab w:val="left" w:pos="2730"/>
        </w:tabs>
        <w:spacing w:line="276" w:lineRule="auto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Duke </w:t>
      </w:r>
      <w:r w:rsidR="00746E9E">
        <w:rPr>
          <w:color w:val="000000" w:themeColor="text1"/>
          <w:lang w:eastAsia="en-US"/>
        </w:rPr>
        <w:t xml:space="preserve">qenë </w:t>
      </w:r>
      <w:r>
        <w:rPr>
          <w:color w:val="000000" w:themeColor="text1"/>
          <w:lang w:eastAsia="en-US"/>
        </w:rPr>
        <w:t>se</w:t>
      </w:r>
      <w:r w:rsidR="00746E9E">
        <w:rPr>
          <w:color w:val="000000" w:themeColor="text1"/>
          <w:lang w:eastAsia="en-US"/>
        </w:rPr>
        <w:t>:</w:t>
      </w:r>
    </w:p>
    <w:p w:rsidR="00282772" w:rsidRDefault="00282772" w:rsidP="008C13C4">
      <w:pPr>
        <w:tabs>
          <w:tab w:val="left" w:pos="2730"/>
        </w:tabs>
        <w:spacing w:line="276" w:lineRule="auto"/>
        <w:jc w:val="both"/>
        <w:rPr>
          <w:color w:val="000000" w:themeColor="text1"/>
          <w:lang w:eastAsia="en-US"/>
        </w:rPr>
      </w:pPr>
    </w:p>
    <w:p w:rsidR="00282772" w:rsidRDefault="00282772">
      <w:pPr>
        <w:pStyle w:val="ListParagraph"/>
        <w:numPr>
          <w:ilvl w:val="0"/>
          <w:numId w:val="4"/>
        </w:numPr>
        <w:tabs>
          <w:tab w:val="left" w:pos="2730"/>
        </w:tabs>
        <w:rPr>
          <w:color w:val="000000" w:themeColor="text1"/>
        </w:rPr>
      </w:pPr>
      <w:r>
        <w:rPr>
          <w:color w:val="000000" w:themeColor="text1"/>
        </w:rPr>
        <w:t>N</w:t>
      </w:r>
      <w:r w:rsidRPr="00282772">
        <w:rPr>
          <w:color w:val="000000" w:themeColor="text1"/>
        </w:rPr>
        <w:t>ë “Rregullat</w:t>
      </w:r>
      <w:r>
        <w:rPr>
          <w:color w:val="000000" w:themeColor="text1"/>
        </w:rPr>
        <w:t xml:space="preserve"> e</w:t>
      </w:r>
      <w:r w:rsidRPr="00282772">
        <w:rPr>
          <w:color w:val="000000" w:themeColor="text1"/>
        </w:rPr>
        <w:t xml:space="preserve"> Tregut Shqiptar të Balancimit të Energjisë Elektrike</w:t>
      </w:r>
      <w:r>
        <w:rPr>
          <w:color w:val="000000" w:themeColor="text1"/>
        </w:rPr>
        <w:t>”,</w:t>
      </w:r>
      <w:r w:rsidRPr="00282772">
        <w:rPr>
          <w:color w:val="000000" w:themeColor="text1"/>
        </w:rPr>
        <w:t xml:space="preserve"> miratuar me Vendimin e ERE Nr. 106, Datë, 02.07.2020</w:t>
      </w:r>
      <w:r w:rsidR="00283898">
        <w:rPr>
          <w:rStyle w:val="FootnoteReference"/>
          <w:color w:val="000000" w:themeColor="text1"/>
        </w:rPr>
        <w:footnoteReference w:id="1"/>
      </w:r>
      <w:r w:rsidRPr="00282772">
        <w:rPr>
          <w:color w:val="000000" w:themeColor="text1"/>
        </w:rPr>
        <w:t>, specifikohet</w:t>
      </w:r>
      <w:r w:rsidR="007A56FF">
        <w:rPr>
          <w:color w:val="000000" w:themeColor="text1"/>
        </w:rPr>
        <w:t>:</w:t>
      </w:r>
    </w:p>
    <w:p w:rsidR="007A56FF" w:rsidRDefault="007A56FF" w:rsidP="00E43B37">
      <w:pPr>
        <w:pStyle w:val="ListParagraph"/>
        <w:tabs>
          <w:tab w:val="left" w:pos="2730"/>
        </w:tabs>
        <w:rPr>
          <w:color w:val="000000" w:themeColor="text1"/>
        </w:rPr>
      </w:pPr>
    </w:p>
    <w:p w:rsidR="00282772" w:rsidRPr="00282772" w:rsidRDefault="00282772" w:rsidP="00E43B37">
      <w:pPr>
        <w:pStyle w:val="ListParagraph"/>
        <w:tabs>
          <w:tab w:val="left" w:pos="2730"/>
        </w:tabs>
        <w:rPr>
          <w:color w:val="000000" w:themeColor="text1"/>
        </w:rPr>
      </w:pPr>
      <w:r w:rsidRPr="00282772">
        <w:rPr>
          <w:color w:val="000000" w:themeColor="text1"/>
        </w:rPr>
        <w:t>Aneksi 12.4 “Përcaktimi i çmimeve të disbalancave”</w:t>
      </w:r>
      <w:r>
        <w:rPr>
          <w:color w:val="000000" w:themeColor="text1"/>
        </w:rPr>
        <w:t>,</w:t>
      </w:r>
      <w:r w:rsidRPr="00282772">
        <w:rPr>
          <w:color w:val="000000" w:themeColor="text1"/>
        </w:rPr>
        <w:t xml:space="preserve"> pika 3.5</w:t>
      </w:r>
      <w:r w:rsidR="00823C59">
        <w:rPr>
          <w:color w:val="000000" w:themeColor="text1"/>
        </w:rPr>
        <w:t>.:</w:t>
      </w:r>
    </w:p>
    <w:p w:rsidR="00282772" w:rsidRPr="00282772" w:rsidRDefault="00282772" w:rsidP="00E43B37">
      <w:pPr>
        <w:pStyle w:val="ListParagraph"/>
        <w:tabs>
          <w:tab w:val="left" w:pos="2730"/>
        </w:tabs>
        <w:rPr>
          <w:color w:val="000000" w:themeColor="text1"/>
        </w:rPr>
      </w:pPr>
      <w:r w:rsidRPr="00282772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282772">
        <w:rPr>
          <w:color w:val="000000" w:themeColor="text1"/>
        </w:rPr>
        <w:t xml:space="preserve">Komponentja nxitëse </w:t>
      </w:r>
    </w:p>
    <w:p w:rsidR="00282772" w:rsidRPr="00282772" w:rsidRDefault="00282772" w:rsidP="00E43B37">
      <w:pPr>
        <w:pStyle w:val="ListParagraph"/>
        <w:numPr>
          <w:ilvl w:val="0"/>
          <w:numId w:val="5"/>
        </w:numPr>
        <w:tabs>
          <w:tab w:val="left" w:pos="2730"/>
        </w:tabs>
        <w:rPr>
          <w:color w:val="000000" w:themeColor="text1"/>
        </w:rPr>
      </w:pPr>
      <w:r w:rsidRPr="00282772">
        <w:rPr>
          <w:color w:val="000000" w:themeColor="text1"/>
        </w:rPr>
        <w:t>Vlera fillestare: €0/MWh</w:t>
      </w:r>
    </w:p>
    <w:p w:rsidR="00282772" w:rsidRPr="00282772" w:rsidRDefault="00282772" w:rsidP="00E43B37">
      <w:pPr>
        <w:pStyle w:val="ListParagraph"/>
        <w:numPr>
          <w:ilvl w:val="0"/>
          <w:numId w:val="5"/>
        </w:numPr>
        <w:tabs>
          <w:tab w:val="left" w:pos="2730"/>
        </w:tabs>
        <w:rPr>
          <w:color w:val="000000" w:themeColor="text1"/>
        </w:rPr>
      </w:pPr>
      <w:r w:rsidRPr="00282772">
        <w:rPr>
          <w:color w:val="000000" w:themeColor="text1"/>
        </w:rPr>
        <w:t>Rregullimet e komponentes nxitëse</w:t>
      </w:r>
    </w:p>
    <w:p w:rsidR="00282772" w:rsidRDefault="00282772" w:rsidP="00E43B37">
      <w:pPr>
        <w:pStyle w:val="ListParagraph"/>
        <w:tabs>
          <w:tab w:val="left" w:pos="2730"/>
        </w:tabs>
        <w:ind w:left="1080"/>
        <w:rPr>
          <w:color w:val="000000" w:themeColor="text1"/>
        </w:rPr>
      </w:pPr>
      <w:r>
        <w:rPr>
          <w:color w:val="000000" w:themeColor="text1"/>
        </w:rPr>
        <w:t xml:space="preserve">3.5.b.1. </w:t>
      </w:r>
      <w:r w:rsidRPr="00282772">
        <w:rPr>
          <w:color w:val="000000" w:themeColor="text1"/>
        </w:rPr>
        <w:t>OST do të rregullojë komponentën nxitëse në bazë të kritereve objektive    sipas një procedure të përcaktuar dhe të publikuar nga OST në faqen zyrtare.</w:t>
      </w:r>
    </w:p>
    <w:p w:rsidR="00282772" w:rsidRDefault="00282772" w:rsidP="00E43B37">
      <w:pPr>
        <w:pStyle w:val="ListParagraph"/>
        <w:tabs>
          <w:tab w:val="left" w:pos="2730"/>
        </w:tabs>
        <w:ind w:left="1080"/>
        <w:rPr>
          <w:color w:val="000000" w:themeColor="text1"/>
        </w:rPr>
      </w:pPr>
      <w:r>
        <w:rPr>
          <w:color w:val="000000" w:themeColor="text1"/>
        </w:rPr>
        <w:t xml:space="preserve">3.5.b.2. </w:t>
      </w:r>
      <w:r w:rsidRPr="00282772">
        <w:rPr>
          <w:color w:val="000000" w:themeColor="text1"/>
        </w:rPr>
        <w:t>Vlera aktuale e komponentes nxitëse do te publikohet në faqen zyrtare të OST.</w:t>
      </w:r>
    </w:p>
    <w:p w:rsidR="00282772" w:rsidRDefault="007A56FF" w:rsidP="00E43B37">
      <w:pPr>
        <w:pStyle w:val="ListParagraph"/>
        <w:tabs>
          <w:tab w:val="left" w:pos="2730"/>
        </w:tabs>
        <w:ind w:left="1080"/>
        <w:rPr>
          <w:color w:val="000000" w:themeColor="text1"/>
        </w:rPr>
      </w:pPr>
      <w:r>
        <w:rPr>
          <w:color w:val="000000" w:themeColor="text1"/>
        </w:rPr>
        <w:t xml:space="preserve">3.5.b.3. </w:t>
      </w:r>
      <w:r w:rsidR="006B2A93" w:rsidRPr="006B2A93">
        <w:rPr>
          <w:color w:val="000000" w:themeColor="text1"/>
        </w:rPr>
        <w:t>ERE ka të drejtën n</w:t>
      </w:r>
      <w:r w:rsidR="00E55442" w:rsidRPr="00DB5136">
        <w:t>ë</w:t>
      </w:r>
      <w:r w:rsidR="006B2A93" w:rsidRPr="006B2A93">
        <w:rPr>
          <w:color w:val="000000" w:themeColor="text1"/>
        </w:rPr>
        <w:t xml:space="preserve"> cdo koh</w:t>
      </w:r>
      <w:r w:rsidR="00E55442" w:rsidRPr="00DB5136">
        <w:t>ë</w:t>
      </w:r>
      <w:r w:rsidR="006B2A93" w:rsidRPr="006B2A93">
        <w:rPr>
          <w:color w:val="000000" w:themeColor="text1"/>
        </w:rPr>
        <w:t xml:space="preserve"> t</w:t>
      </w:r>
      <w:r w:rsidR="00E55442" w:rsidRPr="00DB5136">
        <w:t>ë</w:t>
      </w:r>
      <w:r w:rsidR="006B2A93" w:rsidRPr="006B2A93">
        <w:rPr>
          <w:color w:val="000000" w:themeColor="text1"/>
        </w:rPr>
        <w:t xml:space="preserve"> shqyrtoj</w:t>
      </w:r>
      <w:r w:rsidR="00E55442" w:rsidRPr="00DB5136">
        <w:t>ë</w:t>
      </w:r>
      <w:r w:rsidR="006B2A93" w:rsidRPr="006B2A93">
        <w:rPr>
          <w:color w:val="000000" w:themeColor="text1"/>
        </w:rPr>
        <w:t xml:space="preserve"> pro</w:t>
      </w:r>
      <w:r w:rsidR="00823C59">
        <w:rPr>
          <w:color w:val="000000" w:themeColor="text1"/>
        </w:rPr>
        <w:t>c</w:t>
      </w:r>
      <w:r w:rsidR="006B2A93" w:rsidRPr="006B2A93">
        <w:rPr>
          <w:color w:val="000000" w:themeColor="text1"/>
        </w:rPr>
        <w:t xml:space="preserve">edurën për rregullimin e komponentes nxitëse dhe </w:t>
      </w:r>
      <w:r w:rsidR="00823C59" w:rsidRPr="006B2A93">
        <w:rPr>
          <w:color w:val="000000" w:themeColor="text1"/>
        </w:rPr>
        <w:t>n</w:t>
      </w:r>
      <w:r w:rsidR="00823C59">
        <w:rPr>
          <w:color w:val="000000" w:themeColor="text1"/>
        </w:rPr>
        <w:t>ë</w:t>
      </w:r>
      <w:r w:rsidR="00823C59" w:rsidRPr="006B2A93">
        <w:rPr>
          <w:color w:val="000000" w:themeColor="text1"/>
        </w:rPr>
        <w:t xml:space="preserve">se 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>sht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 xml:space="preserve"> e nevojshme i </w:t>
      </w:r>
      <w:r w:rsidR="006B2A93">
        <w:rPr>
          <w:color w:val="000000" w:themeColor="text1"/>
        </w:rPr>
        <w:t>kërkon</w:t>
      </w:r>
      <w:r w:rsidR="006B2A93" w:rsidRPr="006B2A93">
        <w:rPr>
          <w:color w:val="000000" w:themeColor="text1"/>
        </w:rPr>
        <w:t xml:space="preserve"> OST ta </w:t>
      </w:r>
      <w:r w:rsidR="00823C59" w:rsidRPr="006B2A93">
        <w:rPr>
          <w:color w:val="000000" w:themeColor="text1"/>
        </w:rPr>
        <w:t>dergoj</w:t>
      </w:r>
      <w:r w:rsidR="00823C59">
        <w:rPr>
          <w:color w:val="000000" w:themeColor="text1"/>
        </w:rPr>
        <w:t>ë</w:t>
      </w:r>
      <w:r w:rsidR="00823C59" w:rsidRPr="006B2A93">
        <w:rPr>
          <w:color w:val="000000" w:themeColor="text1"/>
        </w:rPr>
        <w:t xml:space="preserve"> </w:t>
      </w:r>
      <w:r w:rsidR="006B2A93" w:rsidRPr="006B2A93">
        <w:rPr>
          <w:color w:val="000000" w:themeColor="text1"/>
        </w:rPr>
        <w:t>k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>t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 xml:space="preserve"> procedur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 xml:space="preserve"> p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>r t</w:t>
      </w:r>
      <w:r w:rsidR="00823C59">
        <w:rPr>
          <w:color w:val="000000" w:themeColor="text1"/>
        </w:rPr>
        <w:t>’</w:t>
      </w:r>
      <w:r w:rsidR="006B2A93" w:rsidRPr="006B2A93">
        <w:rPr>
          <w:color w:val="000000" w:themeColor="text1"/>
        </w:rPr>
        <w:t>u miratuar n</w:t>
      </w:r>
      <w:r w:rsidR="00823C59">
        <w:rPr>
          <w:color w:val="000000" w:themeColor="text1"/>
        </w:rPr>
        <w:t>ë</w:t>
      </w:r>
      <w:r w:rsidR="006B2A93" w:rsidRPr="006B2A93">
        <w:rPr>
          <w:color w:val="000000" w:themeColor="text1"/>
        </w:rPr>
        <w:t xml:space="preserve"> ERE dhe ta përfshijë si pjes</w:t>
      </w:r>
      <w:r w:rsidR="00E55442" w:rsidRPr="00DB5136">
        <w:t>ë</w:t>
      </w:r>
      <w:r w:rsidR="006B2A93" w:rsidRPr="006B2A93">
        <w:rPr>
          <w:color w:val="000000" w:themeColor="text1"/>
        </w:rPr>
        <w:t xml:space="preserve"> e</w:t>
      </w:r>
      <w:r w:rsidR="00E55442">
        <w:rPr>
          <w:color w:val="000000" w:themeColor="text1"/>
        </w:rPr>
        <w:t xml:space="preserve"> </w:t>
      </w:r>
      <w:r w:rsidR="006B2A93" w:rsidRPr="006B2A93">
        <w:rPr>
          <w:color w:val="000000" w:themeColor="text1"/>
        </w:rPr>
        <w:t>Rregullave t</w:t>
      </w:r>
      <w:r w:rsidR="00E55442" w:rsidRPr="00DB5136">
        <w:t>ë</w:t>
      </w:r>
      <w:r w:rsidR="006B2A93" w:rsidRPr="006B2A93">
        <w:rPr>
          <w:color w:val="000000" w:themeColor="text1"/>
        </w:rPr>
        <w:t xml:space="preserve"> Tregut Shqiptar të Balancimit.</w:t>
      </w:r>
      <w:r>
        <w:rPr>
          <w:color w:val="000000" w:themeColor="text1"/>
        </w:rPr>
        <w:t>”</w:t>
      </w:r>
    </w:p>
    <w:p w:rsidR="00803D85" w:rsidRDefault="00803D85" w:rsidP="00E43B37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:rsidR="007A56FF" w:rsidRDefault="007A56FF" w:rsidP="00E43B37">
      <w:pPr>
        <w:pStyle w:val="ListParagraph"/>
        <w:numPr>
          <w:ilvl w:val="0"/>
          <w:numId w:val="4"/>
        </w:numPr>
      </w:pPr>
      <w:r w:rsidRPr="004E10C3">
        <w:rPr>
          <w:color w:val="000000" w:themeColor="text1"/>
        </w:rPr>
        <w:t xml:space="preserve">Nga data 1 Prill 2021, </w:t>
      </w:r>
      <w:r w:rsidR="002B789E" w:rsidRPr="004E10C3">
        <w:rPr>
          <w:color w:val="000000" w:themeColor="text1"/>
        </w:rPr>
        <w:t>me</w:t>
      </w:r>
      <w:r w:rsidRPr="007D1413">
        <w:rPr>
          <w:color w:val="000000" w:themeColor="text1"/>
        </w:rPr>
        <w:t xml:space="preserve"> zbatimi</w:t>
      </w:r>
      <w:r w:rsidR="002B789E" w:rsidRPr="007D1413">
        <w:rPr>
          <w:color w:val="000000" w:themeColor="text1"/>
        </w:rPr>
        <w:t>n</w:t>
      </w:r>
      <w:r w:rsidRPr="007D1413">
        <w:rPr>
          <w:color w:val="000000" w:themeColor="text1"/>
        </w:rPr>
        <w:t xml:space="preserve"> (</w:t>
      </w:r>
      <w:r w:rsidRPr="00E43B37">
        <w:t xml:space="preserve">Go Live) </w:t>
      </w:r>
      <w:r w:rsidR="00283898">
        <w:t>t</w:t>
      </w:r>
      <w:r w:rsidR="00E55442" w:rsidRPr="00DB5136">
        <w:t>ë</w:t>
      </w:r>
      <w:r w:rsidR="00283898" w:rsidRPr="00A918D2">
        <w:t xml:space="preserve"> </w:t>
      </w:r>
      <w:r w:rsidR="00283898" w:rsidRPr="004E10C3">
        <w:rPr>
          <w:color w:val="000000" w:themeColor="text1"/>
        </w:rPr>
        <w:t>RrTShB</w:t>
      </w:r>
      <w:r w:rsidR="00283898" w:rsidRPr="004E10C3">
        <w:t xml:space="preserve"> </w:t>
      </w:r>
      <w:r w:rsidRPr="00E43B37">
        <w:t>me efekte financiare</w:t>
      </w:r>
      <w:r w:rsidR="002B789E" w:rsidRPr="004E10C3">
        <w:rPr>
          <w:color w:val="000000" w:themeColor="text1"/>
        </w:rPr>
        <w:t xml:space="preserve">, OST e filloi </w:t>
      </w:r>
      <w:r w:rsidR="002B789E" w:rsidRPr="007D1413">
        <w:rPr>
          <w:color w:val="000000" w:themeColor="text1"/>
        </w:rPr>
        <w:t xml:space="preserve">aplikimin e </w:t>
      </w:r>
      <w:r w:rsidR="002B789E" w:rsidRPr="004D0D24">
        <w:t>komponentes nxitëse</w:t>
      </w:r>
      <w:r w:rsidR="002B789E">
        <w:t>,</w:t>
      </w:r>
      <w:r w:rsidR="002B789E" w:rsidRPr="004E10C3">
        <w:t xml:space="preserve"> </w:t>
      </w:r>
      <w:r w:rsidRPr="00E43B37">
        <w:t>me vler</w:t>
      </w:r>
      <w:r w:rsidR="00E55442" w:rsidRPr="00DB5136">
        <w:t>ë</w:t>
      </w:r>
      <w:r w:rsidR="002B789E">
        <w:t>n</w:t>
      </w:r>
      <w:r w:rsidRPr="00E43B37">
        <w:t xml:space="preserve"> zero.</w:t>
      </w:r>
    </w:p>
    <w:p w:rsidR="00803D85" w:rsidRDefault="00803D85" w:rsidP="00E43B37">
      <w:pPr>
        <w:pStyle w:val="ListParagraph"/>
      </w:pPr>
    </w:p>
    <w:p w:rsidR="00283898" w:rsidRDefault="00283898">
      <w:pPr>
        <w:pStyle w:val="ListParagraph"/>
        <w:numPr>
          <w:ilvl w:val="0"/>
          <w:numId w:val="4"/>
        </w:numPr>
      </w:pPr>
      <w:r>
        <w:t xml:space="preserve">Bazuar </w:t>
      </w:r>
      <w:r w:rsidR="009B3AFF">
        <w:t>n</w:t>
      </w:r>
      <w:r w:rsidR="00F24CD8" w:rsidRPr="00DB5136">
        <w:t>ë</w:t>
      </w:r>
      <w:r>
        <w:t xml:space="preserve"> parashikimet e RrTShB,</w:t>
      </w:r>
      <w:r w:rsidR="00803D85" w:rsidRPr="00803D85">
        <w:t xml:space="preserve"> </w:t>
      </w:r>
      <w:r>
        <w:t xml:space="preserve">(pika 4.1.1.1) OST sha është Operatori i Sistemit të Transmetimit në Shqipëri, i cili është përgjegjës për </w:t>
      </w:r>
      <w:r w:rsidR="00AA14F3">
        <w:t>ruajtjen e sigurisë së sistemit</w:t>
      </w:r>
      <w:r>
        <w:t>; (pika 4.1.1.4) OST sha është e detyruar t</w:t>
      </w:r>
      <w:r w:rsidR="00F24CD8" w:rsidRPr="00DB5136">
        <w:t>ë</w:t>
      </w:r>
      <w:r>
        <w:t xml:space="preserve"> mbaj</w:t>
      </w:r>
      <w:r w:rsidR="00F24CD8" w:rsidRPr="00DB5136">
        <w:t>ë</w:t>
      </w:r>
      <w:r>
        <w:t xml:space="preserve"> n</w:t>
      </w:r>
      <w:r w:rsidR="00F24CD8" w:rsidRPr="00DB5136">
        <w:t>ë</w:t>
      </w:r>
      <w:r>
        <w:t xml:space="preserve"> balanc</w:t>
      </w:r>
      <w:r w:rsidR="00F24CD8" w:rsidRPr="00DB5136">
        <w:t>ë</w:t>
      </w:r>
      <w:r>
        <w:t xml:space="preserve"> sistemin elektroenergjitik duke mos shkaktuar diferenca n</w:t>
      </w:r>
      <w:r w:rsidR="00E55442" w:rsidRPr="00DB5136">
        <w:t>ë</w:t>
      </w:r>
      <w:r>
        <w:t xml:space="preserve"> rezultatin neto me q</w:t>
      </w:r>
      <w:r w:rsidR="00E55442" w:rsidRPr="00DB5136">
        <w:t>ë</w:t>
      </w:r>
      <w:r>
        <w:t>llim garantimin e neutralitetin t</w:t>
      </w:r>
      <w:r w:rsidR="00E55442" w:rsidRPr="00DB5136">
        <w:t>ë</w:t>
      </w:r>
      <w:r>
        <w:t xml:space="preserve"> saj financiar;  </w:t>
      </w:r>
    </w:p>
    <w:p w:rsidR="006B2A93" w:rsidRDefault="006B2A93" w:rsidP="00E43B37">
      <w:pPr>
        <w:pStyle w:val="ListParagraph"/>
      </w:pPr>
    </w:p>
    <w:p w:rsidR="00803D85" w:rsidRDefault="000910E2" w:rsidP="006B2A93">
      <w:pPr>
        <w:pStyle w:val="ListParagraph"/>
        <w:numPr>
          <w:ilvl w:val="0"/>
          <w:numId w:val="4"/>
        </w:numPr>
      </w:pPr>
      <w:r>
        <w:t>Objektivi i Rregullave të Tregut Shqiptar të Balancimit është krijimi i një mekanizmi balancues efiçient, transparent dhe jodiskriminues që përcakton përgjegjësitë e balancimit dhe nxit pjesëmarrësit e tregut të kryejnë balancimin si dhe të ofrojnë shërbime balancuese</w:t>
      </w:r>
      <w:r w:rsidRPr="006B2A93">
        <w:t xml:space="preserve"> </w:t>
      </w:r>
      <w:r w:rsidR="00DA4178">
        <w:t>(RrTShB</w:t>
      </w:r>
      <w:r w:rsidR="00DA4178" w:rsidRPr="00803D85">
        <w:t xml:space="preserve"> </w:t>
      </w:r>
      <w:r w:rsidR="00DA4178">
        <w:t xml:space="preserve">pika 1.1.2.1). </w:t>
      </w:r>
      <w:r w:rsidR="006B2A93" w:rsidRPr="006B2A93">
        <w:t>“Disbalanca” qoft</w:t>
      </w:r>
      <w:r w:rsidR="00F24CD8" w:rsidRPr="00DB5136">
        <w:t>ë</w:t>
      </w:r>
      <w:r w:rsidR="00F24CD8">
        <w:t xml:space="preserve"> </w:t>
      </w:r>
      <w:r w:rsidR="006B2A93" w:rsidRPr="006B2A93">
        <w:t xml:space="preserve">pozitive </w:t>
      </w:r>
      <w:r w:rsidR="006B2A93">
        <w:t>apo</w:t>
      </w:r>
      <w:r w:rsidR="006B2A93" w:rsidRPr="006B2A93">
        <w:t xml:space="preserve"> negative</w:t>
      </w:r>
      <w:r w:rsidR="006B2A93">
        <w:t xml:space="preserve">, </w:t>
      </w:r>
      <w:r w:rsidR="006B2A93" w:rsidRPr="006B2A93">
        <w:t>duhet  koncept</w:t>
      </w:r>
      <w:r w:rsidR="006B2A93">
        <w:t xml:space="preserve">uar </w:t>
      </w:r>
      <w:r w:rsidR="006B2A93" w:rsidRPr="006B2A93">
        <w:t>si penalitet</w:t>
      </w:r>
      <w:r w:rsidR="006B2A93">
        <w:t xml:space="preserve">, ndaj </w:t>
      </w:r>
      <w:r w:rsidR="00E55442">
        <w:t>ç</w:t>
      </w:r>
      <w:r w:rsidR="00DA4178">
        <w:t>do pjes</w:t>
      </w:r>
      <w:r w:rsidR="006B2A93" w:rsidRPr="006B2A93">
        <w:t>marr</w:t>
      </w:r>
      <w:r w:rsidR="00F24CD8" w:rsidRPr="00DB5136">
        <w:t>ë</w:t>
      </w:r>
      <w:r w:rsidR="006B2A93" w:rsidRPr="006B2A93">
        <w:t xml:space="preserve">s tregu </w:t>
      </w:r>
      <w:r w:rsidR="00803D85">
        <w:t>madje</w:t>
      </w:r>
      <w:r w:rsidR="006B2A93">
        <w:t xml:space="preserve"> dhe OST</w:t>
      </w:r>
      <w:r w:rsidR="00803D85">
        <w:t>, duhet</w:t>
      </w:r>
      <w:r w:rsidR="006B2A93">
        <w:t xml:space="preserve"> </w:t>
      </w:r>
      <w:r w:rsidR="00803D85">
        <w:t>t</w:t>
      </w:r>
      <w:r w:rsidR="00F24CD8" w:rsidRPr="00DB5136">
        <w:t>ë</w:t>
      </w:r>
      <w:r w:rsidR="00803D85">
        <w:t xml:space="preserve"> b</w:t>
      </w:r>
      <w:r w:rsidR="00F24CD8" w:rsidRPr="00DB5136">
        <w:t>ë</w:t>
      </w:r>
      <w:r w:rsidR="00803D85">
        <w:t>jn</w:t>
      </w:r>
      <w:r w:rsidR="00F24CD8" w:rsidRPr="00DB5136">
        <w:t>ë</w:t>
      </w:r>
      <w:r w:rsidR="00803D85">
        <w:t xml:space="preserve"> </w:t>
      </w:r>
      <w:r w:rsidR="006B2A93" w:rsidRPr="006B2A93">
        <w:lastRenderedPageBreak/>
        <w:t>nominime sa m</w:t>
      </w:r>
      <w:r w:rsidR="00F24CD8" w:rsidRPr="00DB5136">
        <w:t>ë</w:t>
      </w:r>
      <w:r w:rsidR="006B2A93" w:rsidRPr="006B2A93">
        <w:t xml:space="preserve"> af</w:t>
      </w:r>
      <w:r w:rsidR="00F24CD8" w:rsidRPr="00DB5136">
        <w:t>ë</w:t>
      </w:r>
      <w:r w:rsidR="006B2A93" w:rsidRPr="006B2A93">
        <w:t>r faktit</w:t>
      </w:r>
      <w:r w:rsidR="00803D85">
        <w:t xml:space="preserve">, pasi </w:t>
      </w:r>
      <w:r w:rsidR="006B2A93" w:rsidRPr="006B2A93">
        <w:t xml:space="preserve">mekanizmi balancues nuk </w:t>
      </w:r>
      <w:r w:rsidR="00F24CD8" w:rsidRPr="00DB5136">
        <w:t>ë</w:t>
      </w:r>
      <w:r w:rsidR="006B2A93" w:rsidRPr="006B2A93">
        <w:t>sht</w:t>
      </w:r>
      <w:r w:rsidR="00F24CD8" w:rsidRPr="00DB5136">
        <w:t>ë</w:t>
      </w:r>
      <w:r w:rsidR="006B2A93" w:rsidRPr="006B2A93">
        <w:t xml:space="preserve"> nj</w:t>
      </w:r>
      <w:r w:rsidR="00F24CD8" w:rsidRPr="00DB5136">
        <w:t>ë</w:t>
      </w:r>
      <w:r w:rsidR="006B2A93" w:rsidRPr="006B2A93">
        <w:t xml:space="preserve"> mekaniz</w:t>
      </w:r>
      <w:r w:rsidR="00F24CD8" w:rsidRPr="00DB5136">
        <w:t>ë</w:t>
      </w:r>
      <w:r w:rsidR="006B2A93" w:rsidRPr="006B2A93">
        <w:t>m p</w:t>
      </w:r>
      <w:r w:rsidR="00F24CD8" w:rsidRPr="00DB5136">
        <w:t>ë</w:t>
      </w:r>
      <w:r w:rsidR="006B2A93" w:rsidRPr="006B2A93">
        <w:t>rfitues</w:t>
      </w:r>
      <w:r w:rsidR="00803D85">
        <w:t>, por disiplinues</w:t>
      </w:r>
      <w:r w:rsidR="00DA4178">
        <w:t>.</w:t>
      </w:r>
    </w:p>
    <w:p w:rsidR="00DA4178" w:rsidRDefault="00DA4178" w:rsidP="004E10C3">
      <w:pPr>
        <w:pStyle w:val="ListParagraph"/>
      </w:pPr>
    </w:p>
    <w:p w:rsidR="00DA4178" w:rsidRDefault="00DA4178" w:rsidP="00DA4178">
      <w:pPr>
        <w:pStyle w:val="ListParagraph"/>
        <w:numPr>
          <w:ilvl w:val="0"/>
          <w:numId w:val="4"/>
        </w:numPr>
      </w:pPr>
      <w:r w:rsidRPr="00DA4178">
        <w:t>Ekziston eksperienca 3 vjeçare e llogaritjes së çmimeve të Disbalancave sipas Koeficientëve të përdorur deri më datë 31.03.2021 n</w:t>
      </w:r>
      <w:r w:rsidR="00F24CD8" w:rsidRPr="00DB5136">
        <w:t>ë</w:t>
      </w:r>
      <w:r w:rsidRPr="00DA4178">
        <w:t xml:space="preserve"> p</w:t>
      </w:r>
      <w:r w:rsidR="00F24CD8" w:rsidRPr="00DB5136">
        <w:t>ë</w:t>
      </w:r>
      <w:r w:rsidRPr="00DA4178">
        <w:t xml:space="preserve">rputhje me “Rregullat e Përkohshme për Mekanizmin Balancues të Energjisë Elektrike”, sipas </w:t>
      </w:r>
      <w:r w:rsidR="00823C59" w:rsidRPr="00DA4178">
        <w:t>t</w:t>
      </w:r>
      <w:r w:rsidR="00823C59">
        <w:t>ë</w:t>
      </w:r>
      <w:r w:rsidR="00823C59" w:rsidRPr="00DA4178">
        <w:t xml:space="preserve"> </w:t>
      </w:r>
      <w:r w:rsidRPr="00DA4178">
        <w:t>cilave, çmimet korrigjoheshin me faktorë nxitës në varësi të nevojave balancuese të sistemit të OST dhe pozicionin e tij balancues kundrejt sistemeve fqinje</w:t>
      </w:r>
      <w:r w:rsidR="004E10C3">
        <w:t>.</w:t>
      </w:r>
    </w:p>
    <w:p w:rsidR="004E10C3" w:rsidRDefault="004E10C3" w:rsidP="004E10C3">
      <w:pPr>
        <w:pStyle w:val="ListParagraph"/>
      </w:pPr>
    </w:p>
    <w:p w:rsidR="00803D85" w:rsidRDefault="00803D85" w:rsidP="004E10C3">
      <w:r>
        <w:t>OST si m</w:t>
      </w:r>
      <w:r w:rsidR="00F24CD8" w:rsidRPr="00DB5136">
        <w:t>ë</w:t>
      </w:r>
      <w:r>
        <w:t xml:space="preserve"> posht</w:t>
      </w:r>
      <w:r w:rsidR="00F24CD8" w:rsidRPr="00DB5136">
        <w:t>ë</w:t>
      </w:r>
      <w:r>
        <w:t xml:space="preserve"> vijo</w:t>
      </w:r>
      <w:r w:rsidR="00DA4178">
        <w:t xml:space="preserve">n, </w:t>
      </w:r>
      <w:r w:rsidR="004E10C3">
        <w:t>p</w:t>
      </w:r>
      <w:r w:rsidR="00F24CD8" w:rsidRPr="00DB5136">
        <w:t>ë</w:t>
      </w:r>
      <w:r w:rsidR="004E10C3">
        <w:t>rcakton:</w:t>
      </w:r>
    </w:p>
    <w:p w:rsidR="00803D85" w:rsidRDefault="00803D85" w:rsidP="004E10C3">
      <w:pPr>
        <w:pStyle w:val="ListParagraph"/>
      </w:pPr>
    </w:p>
    <w:p w:rsidR="004E10C3" w:rsidRDefault="004E10C3" w:rsidP="004E10C3">
      <w:pPr>
        <w:pStyle w:val="ListParagraph"/>
        <w:numPr>
          <w:ilvl w:val="0"/>
          <w:numId w:val="6"/>
        </w:numPr>
      </w:pPr>
      <w:r>
        <w:t>V</w:t>
      </w:r>
      <w:r w:rsidRPr="004E10C3">
        <w:t>lera e Komponentes Nxitëse</w:t>
      </w:r>
      <w:r>
        <w:t xml:space="preserve"> </w:t>
      </w:r>
      <w:r w:rsidR="00F24CD8" w:rsidRPr="00DB5136">
        <w:t>ë</w:t>
      </w:r>
      <w:r>
        <w:t>sht</w:t>
      </w:r>
      <w:r w:rsidR="00F24CD8" w:rsidRPr="00DB5136">
        <w:t>ë</w:t>
      </w:r>
      <w:r w:rsidR="00F24CD8">
        <w:t>:</w:t>
      </w:r>
    </w:p>
    <w:tbl>
      <w:tblPr>
        <w:tblpPr w:leftFromText="180" w:rightFromText="180" w:vertAnchor="text" w:horzAnchor="page" w:tblpX="2102" w:tblpY="32"/>
        <w:tblW w:w="2260" w:type="dxa"/>
        <w:tblLook w:val="04A0" w:firstRow="1" w:lastRow="0" w:firstColumn="1" w:lastColumn="0" w:noHBand="0" w:noVBand="1"/>
      </w:tblPr>
      <w:tblGrid>
        <w:gridCol w:w="2260"/>
      </w:tblGrid>
      <w:tr w:rsidR="004E10C3" w:rsidRPr="00C86376" w:rsidTr="004E10C3">
        <w:trPr>
          <w:trHeight w:val="31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Komponentet</w:t>
            </w:r>
            <w:proofErr w:type="spellEnd"/>
            <w:r w:rsidRPr="00C863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Nxitëse</w:t>
            </w:r>
            <w:proofErr w:type="spellEnd"/>
            <w:r w:rsidRPr="00C863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4E10C3" w:rsidRPr="00C86376" w:rsidTr="004E10C3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Knx1 = 0.95*</w:t>
            </w: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4E10C3" w:rsidRPr="00C86376" w:rsidTr="004E10C3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Knx2 = 0.2*</w:t>
            </w: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4E10C3" w:rsidRPr="00C86376" w:rsidTr="004E10C3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Knx3 = 0.5*</w:t>
            </w: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4E10C3" w:rsidRPr="00C86376" w:rsidTr="004E10C3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Knx4 = 0</w:t>
            </w:r>
          </w:p>
        </w:tc>
      </w:tr>
      <w:tr w:rsidR="004E10C3" w:rsidRPr="00C86376" w:rsidTr="004E10C3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Knx5 =  0.2*</w:t>
            </w: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</w:p>
        </w:tc>
      </w:tr>
      <w:tr w:rsidR="004E10C3" w:rsidRPr="00C86376" w:rsidTr="004E10C3">
        <w:trPr>
          <w:trHeight w:val="315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10C3" w:rsidRPr="00C86376" w:rsidRDefault="004E10C3" w:rsidP="004E10C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Knx6 = 0.95*</w:t>
            </w:r>
            <w:proofErr w:type="spellStart"/>
            <w:r w:rsidRPr="00C86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</w:p>
        </w:tc>
      </w:tr>
    </w:tbl>
    <w:p w:rsidR="004E10C3" w:rsidRDefault="004E10C3" w:rsidP="004E10C3">
      <w:pPr>
        <w:pStyle w:val="ListParagraph"/>
      </w:pPr>
    </w:p>
    <w:p w:rsidR="004E10C3" w:rsidRDefault="004E10C3" w:rsidP="004E10C3">
      <w:pPr>
        <w:pStyle w:val="ListParagraph"/>
      </w:pPr>
    </w:p>
    <w:p w:rsidR="004E10C3" w:rsidRDefault="004E10C3" w:rsidP="004E10C3">
      <w:pPr>
        <w:ind w:left="360"/>
      </w:pPr>
    </w:p>
    <w:p w:rsidR="004E10C3" w:rsidRDefault="004E10C3" w:rsidP="004E10C3">
      <w:pPr>
        <w:ind w:left="360"/>
      </w:pPr>
    </w:p>
    <w:p w:rsidR="004E10C3" w:rsidRDefault="004E10C3" w:rsidP="004E10C3">
      <w:pPr>
        <w:ind w:left="360"/>
      </w:pPr>
    </w:p>
    <w:p w:rsidR="004E10C3" w:rsidRDefault="004E10C3" w:rsidP="004E10C3">
      <w:pPr>
        <w:ind w:left="360"/>
      </w:pPr>
    </w:p>
    <w:p w:rsidR="004E10C3" w:rsidRDefault="004E10C3" w:rsidP="004E10C3">
      <w:pPr>
        <w:ind w:left="360"/>
      </w:pPr>
    </w:p>
    <w:p w:rsidR="006B2A93" w:rsidRDefault="006B2A93" w:rsidP="004E10C3"/>
    <w:p w:rsidR="004E10C3" w:rsidRDefault="004E10C3" w:rsidP="004E10C3">
      <w:pPr>
        <w:pStyle w:val="ListParagraph"/>
        <w:numPr>
          <w:ilvl w:val="0"/>
          <w:numId w:val="6"/>
        </w:numPr>
      </w:pPr>
      <w:r>
        <w:t>L</w:t>
      </w:r>
      <w:r w:rsidRPr="004E10C3">
        <w:t xml:space="preserve">logaritja e çmimit të disbalancës bazohet në çmimet e energjisë balancuese të OShB dhe </w:t>
      </w:r>
      <w:r w:rsidR="007D1413">
        <w:t>parashikimeve t</w:t>
      </w:r>
      <w:r w:rsidRPr="004E10C3">
        <w:t>ë</w:t>
      </w:r>
      <w:r w:rsidR="007D1413">
        <w:t xml:space="preserve"> tjera t</w:t>
      </w:r>
      <w:r w:rsidR="00F24CD8" w:rsidRPr="00DB5136">
        <w:t>ë</w:t>
      </w:r>
      <w:r w:rsidRPr="004E10C3">
        <w:t xml:space="preserve"> </w:t>
      </w:r>
      <w:r>
        <w:t>RrTShB.</w:t>
      </w:r>
    </w:p>
    <w:p w:rsidR="004E10C3" w:rsidRDefault="004E10C3" w:rsidP="004E10C3">
      <w:pPr>
        <w:ind w:left="720"/>
      </w:pPr>
    </w:p>
    <w:tbl>
      <w:tblPr>
        <w:tblpPr w:leftFromText="180" w:rightFromText="180" w:vertAnchor="text" w:horzAnchor="margin" w:tblpXSpec="center" w:tblpY="91"/>
        <w:tblW w:w="9550" w:type="dxa"/>
        <w:tblLook w:val="04A0" w:firstRow="1" w:lastRow="0" w:firstColumn="1" w:lastColumn="0" w:noHBand="0" w:noVBand="1"/>
      </w:tblPr>
      <w:tblGrid>
        <w:gridCol w:w="3112"/>
        <w:gridCol w:w="1337"/>
        <w:gridCol w:w="5101"/>
      </w:tblGrid>
      <w:tr w:rsidR="007D1413" w:rsidRPr="007D1413" w:rsidTr="00E43B37">
        <w:trPr>
          <w:trHeight w:val="364"/>
        </w:trPr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Gjendja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e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Sistemit</w:t>
            </w:r>
            <w:proofErr w:type="spellEnd"/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Disbalanca</w:t>
            </w:r>
            <w:proofErr w:type="spellEnd"/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Llogaritja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e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Çmimit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Disbalancës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</w:p>
        </w:tc>
      </w:tr>
      <w:tr w:rsidR="007D1413" w:rsidRPr="007D1413" w:rsidTr="00E43B37">
        <w:trPr>
          <w:trHeight w:val="347"/>
        </w:trPr>
        <w:tc>
          <w:tcPr>
            <w:tcW w:w="3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+1 (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Sistemi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ka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Tepricë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Pozitive</w:t>
            </w:r>
            <w:proofErr w:type="spellEnd"/>
          </w:p>
        </w:tc>
        <w:tc>
          <w:tcPr>
            <w:tcW w:w="5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Knx1 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(0.95*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0.05*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:rsidTr="00E43B37">
        <w:trPr>
          <w:trHeight w:val="347"/>
        </w:trPr>
        <w:tc>
          <w:tcPr>
            <w:tcW w:w="31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Negative</w:t>
            </w: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Knx2 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(0.2*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1.2*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:rsidTr="00E43B37">
        <w:trPr>
          <w:trHeight w:val="347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-1 (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Sistemi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ka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Mungesë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Pozitive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P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K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nx3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(0.5*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0.5*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:rsidTr="00E43B37">
        <w:trPr>
          <w:trHeight w:val="347"/>
        </w:trPr>
        <w:tc>
          <w:tcPr>
            <w:tcW w:w="31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Negative</w:t>
            </w:r>
          </w:p>
        </w:tc>
        <w:tc>
          <w:tcPr>
            <w:tcW w:w="5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P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K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nx3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 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(0.5*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=1.5*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:rsidTr="00E43B37">
        <w:trPr>
          <w:trHeight w:val="347"/>
        </w:trPr>
        <w:tc>
          <w:tcPr>
            <w:tcW w:w="311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 (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Sistemi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është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Balancë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Pozitive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P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K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nx4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=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:rsidTr="00E43B37">
        <w:trPr>
          <w:trHeight w:val="364"/>
        </w:trPr>
        <w:tc>
          <w:tcPr>
            <w:tcW w:w="31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Negative</w:t>
            </w:r>
          </w:p>
        </w:tc>
        <w:tc>
          <w:tcPr>
            <w:tcW w:w="5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P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K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nx4 </w:t>
            </w:r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:rsidTr="00E43B37">
        <w:trPr>
          <w:trHeight w:val="347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332B5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(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Sistemi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ka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disbalancë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332B5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dyanshme</w:t>
            </w:r>
            <w:proofErr w:type="spellEnd"/>
            <w:r w:rsidRPr="007D141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Rasti</w:t>
            </w:r>
            <w:proofErr w:type="spellEnd"/>
            <w:r w:rsidRPr="007D14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A</w:t>
            </w:r>
          </w:p>
        </w:tc>
      </w:tr>
      <w:tr w:rsidR="007D1413" w:rsidRPr="007D1413" w:rsidTr="00E43B37">
        <w:trPr>
          <w:trHeight w:val="347"/>
        </w:trPr>
        <w:tc>
          <w:tcPr>
            <w:tcW w:w="31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Pozitive</w:t>
            </w:r>
            <w:proofErr w:type="spellEnd"/>
          </w:p>
        </w:tc>
        <w:tc>
          <w:tcPr>
            <w:tcW w:w="5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Knx1 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(0.95*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0.05*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  <w:tr w:rsidR="007D1413" w:rsidRPr="007D1413" w:rsidTr="00E43B37">
        <w:trPr>
          <w:trHeight w:val="347"/>
        </w:trPr>
        <w:tc>
          <w:tcPr>
            <w:tcW w:w="31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Negative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Knx5 =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(0.2*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1.2*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</w:p>
        </w:tc>
      </w:tr>
      <w:tr w:rsidR="007D1413" w:rsidRPr="007D1413" w:rsidTr="00E43B37">
        <w:trPr>
          <w:trHeight w:val="347"/>
        </w:trPr>
        <w:tc>
          <w:tcPr>
            <w:tcW w:w="31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Rasti</w:t>
            </w:r>
            <w:proofErr w:type="spellEnd"/>
            <w:r w:rsidRPr="007D14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B</w:t>
            </w:r>
          </w:p>
        </w:tc>
      </w:tr>
      <w:tr w:rsidR="007D1413" w:rsidRPr="007D1413" w:rsidTr="00E43B37">
        <w:trPr>
          <w:trHeight w:val="347"/>
        </w:trPr>
        <w:tc>
          <w:tcPr>
            <w:tcW w:w="31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Pozitive</w:t>
            </w:r>
            <w:proofErr w:type="spellEnd"/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Knx6 = 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(0.95*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0.05</w:t>
            </w:r>
            <w:r w:rsidR="00E43B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PMes.Bal</w:t>
            </w:r>
            <w:proofErr w:type="spellEnd"/>
          </w:p>
        </w:tc>
      </w:tr>
      <w:tr w:rsidR="007D1413" w:rsidRPr="007D1413" w:rsidTr="00E43B37">
        <w:trPr>
          <w:trHeight w:val="364"/>
        </w:trPr>
        <w:tc>
          <w:tcPr>
            <w:tcW w:w="31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1F15D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D14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Negative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413" w:rsidRPr="007D1413" w:rsidRDefault="007D1413" w:rsidP="007D14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Knx2 =  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+ (0.2*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) = 1.2*</w:t>
            </w:r>
            <w:proofErr w:type="spellStart"/>
            <w:r w:rsidRPr="007D1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PE.Bal</w:t>
            </w:r>
            <w:proofErr w:type="spellEnd"/>
          </w:p>
        </w:tc>
      </w:tr>
    </w:tbl>
    <w:p w:rsidR="004E10C3" w:rsidRDefault="004E10C3" w:rsidP="004E10C3"/>
    <w:p w:rsidR="004E10C3" w:rsidRDefault="004E10C3" w:rsidP="004E10C3"/>
    <w:p w:rsidR="007D1413" w:rsidRDefault="007D1413" w:rsidP="007D1413">
      <w:pPr>
        <w:jc w:val="both"/>
      </w:pPr>
    </w:p>
    <w:p w:rsidR="007D1413" w:rsidRDefault="007D1413" w:rsidP="007D1413">
      <w:pPr>
        <w:jc w:val="both"/>
        <w:rPr>
          <w:i/>
        </w:rPr>
      </w:pPr>
      <w:r>
        <w:t xml:space="preserve"> </w:t>
      </w:r>
      <w:r w:rsidRPr="00C05436">
        <w:rPr>
          <w:i/>
        </w:rPr>
        <w:t>Sqarime:</w:t>
      </w:r>
    </w:p>
    <w:p w:rsidR="007D1413" w:rsidRPr="00C05436" w:rsidRDefault="007D1413" w:rsidP="007D1413">
      <w:pPr>
        <w:jc w:val="both"/>
        <w:rPr>
          <w:i/>
        </w:rPr>
      </w:pPr>
    </w:p>
    <w:p w:rsidR="007D1413" w:rsidRDefault="007D1413" w:rsidP="007D1413">
      <w:pPr>
        <w:jc w:val="both"/>
      </w:pPr>
      <w:r w:rsidRPr="00C05436">
        <w:rPr>
          <w:i/>
        </w:rPr>
        <w:t>Rasti A</w:t>
      </w:r>
      <w:r w:rsidRPr="00C05436">
        <w:t xml:space="preserve">: </w:t>
      </w:r>
      <w:r>
        <w:t>Çmimi i Energjisë Balancuese &lt; Çmimi mesatar i Energjisë Balancuese.</w:t>
      </w:r>
    </w:p>
    <w:p w:rsidR="007D1413" w:rsidRDefault="007D1413" w:rsidP="007D1413">
      <w:pPr>
        <w:jc w:val="both"/>
      </w:pPr>
      <w:r w:rsidRPr="00C05436">
        <w:rPr>
          <w:i/>
        </w:rPr>
        <w:t>Rasti B</w:t>
      </w:r>
      <w:r w:rsidRPr="00C05436">
        <w:t>:</w:t>
      </w:r>
      <w:r>
        <w:t xml:space="preserve"> Çmimi i Energjisë Balancuese &gt; Çmimi mesatar i Energjisë Balancuese.</w:t>
      </w:r>
    </w:p>
    <w:p w:rsidR="007D1413" w:rsidRDefault="007D1413" w:rsidP="007D1413">
      <w:pPr>
        <w:jc w:val="both"/>
      </w:pPr>
      <w:r w:rsidRPr="00C05436">
        <w:rPr>
          <w:i/>
        </w:rPr>
        <w:t>PE.Bal</w:t>
      </w:r>
      <w:r>
        <w:t xml:space="preserve"> – Çmimi i energjisë balancuese.</w:t>
      </w:r>
    </w:p>
    <w:p w:rsidR="007D1413" w:rsidRDefault="007D1413" w:rsidP="007D1413">
      <w:pPr>
        <w:jc w:val="both"/>
      </w:pPr>
      <w:r w:rsidRPr="00C05436">
        <w:rPr>
          <w:i/>
        </w:rPr>
        <w:t>Knx</w:t>
      </w:r>
      <w:r>
        <w:t xml:space="preserve"> – Komponente nxitëse.</w:t>
      </w:r>
    </w:p>
    <w:p w:rsidR="007D1413" w:rsidRDefault="007D1413" w:rsidP="007D1413">
      <w:pPr>
        <w:jc w:val="both"/>
      </w:pPr>
      <w:r w:rsidRPr="00C05436">
        <w:rPr>
          <w:i/>
        </w:rPr>
        <w:t>PMes.Bal</w:t>
      </w:r>
      <w:r>
        <w:t xml:space="preserve"> – Çmimi mesatar i Energjisë Balancuese.</w:t>
      </w:r>
    </w:p>
    <w:p w:rsidR="007D1413" w:rsidRDefault="007D1413" w:rsidP="007D1413">
      <w:pPr>
        <w:jc w:val="both"/>
      </w:pPr>
    </w:p>
    <w:p w:rsidR="007D1413" w:rsidRDefault="007D1413" w:rsidP="007D1413">
      <w:pPr>
        <w:jc w:val="both"/>
        <w:rPr>
          <w:b/>
        </w:rPr>
      </w:pPr>
      <w:r>
        <w:t>N</w:t>
      </w:r>
      <w:r w:rsidRPr="00DB5136">
        <w:t>ë</w:t>
      </w:r>
      <w:r>
        <w:t xml:space="preserve"> mb</w:t>
      </w:r>
      <w:r w:rsidR="00F24CD8" w:rsidRPr="00DB5136">
        <w:t>ë</w:t>
      </w:r>
      <w:r>
        <w:t>shtetje t</w:t>
      </w:r>
      <w:r w:rsidR="00F24CD8" w:rsidRPr="00DB5136">
        <w:t>ë</w:t>
      </w:r>
      <w:r>
        <w:t xml:space="preserve"> RTShB, OST rezervon t</w:t>
      </w:r>
      <w:r w:rsidR="00F24CD8" w:rsidRPr="00DB5136">
        <w:t>ë</w:t>
      </w:r>
      <w:r>
        <w:t xml:space="preserve"> drejt</w:t>
      </w:r>
      <w:r w:rsidR="00F24CD8" w:rsidRPr="00DB5136">
        <w:t>ë</w:t>
      </w:r>
      <w:r>
        <w:t>n t</w:t>
      </w:r>
      <w:r w:rsidR="00F24CD8" w:rsidRPr="00DB5136">
        <w:t>ë</w:t>
      </w:r>
      <w:r>
        <w:t xml:space="preserve"> rishikoj</w:t>
      </w:r>
      <w:r w:rsidR="00F24CD8" w:rsidRPr="00DB5136">
        <w:t>ë</w:t>
      </w:r>
      <w:r>
        <w:t xml:space="preserve"> k</w:t>
      </w:r>
      <w:r w:rsidR="00F24CD8" w:rsidRPr="00DB5136">
        <w:t>ë</w:t>
      </w:r>
      <w:r>
        <w:t>t</w:t>
      </w:r>
      <w:r w:rsidR="00F24CD8" w:rsidRPr="00DB5136">
        <w:t>ë</w:t>
      </w:r>
      <w:r>
        <w:t xml:space="preserve"> procedur</w:t>
      </w:r>
      <w:r w:rsidR="00F24CD8" w:rsidRPr="00DB5136">
        <w:t>ë</w:t>
      </w:r>
      <w:r w:rsidR="00F24CD8">
        <w:t xml:space="preserve"> </w:t>
      </w:r>
      <w:r>
        <w:t>dhe vler</w:t>
      </w:r>
      <w:r w:rsidR="00F24CD8" w:rsidRPr="00DB5136">
        <w:t>ë</w:t>
      </w:r>
      <w:r>
        <w:t>n e komponentes nxit</w:t>
      </w:r>
      <w:r w:rsidR="00F24CD8" w:rsidRPr="00DB5136">
        <w:t>ë</w:t>
      </w:r>
      <w:r>
        <w:t xml:space="preserve">se. </w:t>
      </w:r>
    </w:p>
    <w:p w:rsidR="004E10C3" w:rsidRDefault="004E10C3" w:rsidP="004E10C3"/>
    <w:p w:rsidR="004E10C3" w:rsidRDefault="004E10C3" w:rsidP="004E10C3"/>
    <w:p w:rsidR="00B75880" w:rsidRDefault="00B75880" w:rsidP="004E10C3"/>
    <w:p w:rsidR="00B75880" w:rsidRDefault="00B75880" w:rsidP="004E10C3"/>
    <w:p w:rsidR="00B75880" w:rsidRDefault="00B75880" w:rsidP="004E10C3"/>
    <w:p w:rsidR="004E10C3" w:rsidRDefault="004E10C3" w:rsidP="004E10C3">
      <w:pPr>
        <w:pStyle w:val="ListParagraph"/>
      </w:pPr>
    </w:p>
    <w:p w:rsidR="00BE67EF" w:rsidRPr="00F61C42" w:rsidRDefault="00BE67EF" w:rsidP="00466591">
      <w:pPr>
        <w:tabs>
          <w:tab w:val="left" w:pos="3870"/>
        </w:tabs>
        <w:spacing w:line="276" w:lineRule="auto"/>
        <w:jc w:val="both"/>
        <w:rPr>
          <w:b/>
          <w:lang w:eastAsia="en-US"/>
        </w:rPr>
      </w:pPr>
      <w:r w:rsidRPr="00CF5974">
        <w:rPr>
          <w:color w:val="000000" w:themeColor="text1"/>
          <w:lang w:eastAsia="en-US"/>
        </w:rPr>
        <w:t xml:space="preserve"> </w:t>
      </w:r>
      <w:r>
        <w:rPr>
          <w:b/>
          <w:lang w:eastAsia="en-US"/>
        </w:rPr>
        <w:t xml:space="preserve">                                                                                     </w:t>
      </w:r>
      <w:bookmarkStart w:id="0" w:name="_GoBack"/>
      <w:bookmarkEnd w:id="0"/>
    </w:p>
    <w:p w:rsidR="00BE67EF" w:rsidRPr="007003E2" w:rsidRDefault="00BE67EF" w:rsidP="00BE67EF">
      <w:pPr>
        <w:tabs>
          <w:tab w:val="left" w:pos="3870"/>
        </w:tabs>
        <w:spacing w:line="276" w:lineRule="auto"/>
        <w:jc w:val="right"/>
        <w:rPr>
          <w:b/>
          <w:lang w:eastAsia="en-US"/>
        </w:rPr>
      </w:pPr>
    </w:p>
    <w:p w:rsidR="00BE67EF" w:rsidRDefault="00BE67EF" w:rsidP="00BE67EF">
      <w:pPr>
        <w:rPr>
          <w:sz w:val="16"/>
          <w:szCs w:val="16"/>
        </w:rPr>
      </w:pPr>
    </w:p>
    <w:p w:rsidR="00BE67EF" w:rsidRDefault="00BE67EF" w:rsidP="00BE67EF">
      <w:pPr>
        <w:rPr>
          <w:sz w:val="16"/>
          <w:szCs w:val="16"/>
        </w:rPr>
      </w:pPr>
    </w:p>
    <w:p w:rsidR="00BE67EF" w:rsidRDefault="00BE67EF" w:rsidP="00BE67EF">
      <w:pPr>
        <w:rPr>
          <w:sz w:val="16"/>
          <w:szCs w:val="16"/>
        </w:rPr>
      </w:pPr>
    </w:p>
    <w:p w:rsidR="004E10C3" w:rsidRPr="006B2A93" w:rsidRDefault="004E10C3" w:rsidP="00E43B37">
      <w:pPr>
        <w:ind w:left="360"/>
      </w:pPr>
    </w:p>
    <w:p w:rsidR="006B2A93" w:rsidRDefault="006B2A93" w:rsidP="006B2A93">
      <w:pPr>
        <w:pStyle w:val="ListParagraph"/>
      </w:pPr>
    </w:p>
    <w:p w:rsidR="00282772" w:rsidRDefault="00282772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:rsidR="00EF629C" w:rsidRDefault="00EF629C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:rsidR="00EF629C" w:rsidRDefault="00EF629C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:rsidR="00EF629C" w:rsidRDefault="00EF629C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:rsidR="00EF629C" w:rsidRDefault="00EF629C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:rsidR="006D51EF" w:rsidRDefault="006D51EF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:rsidR="00EB524D" w:rsidRDefault="00EB524D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:rsidR="00BE67EF" w:rsidRDefault="00BE67EF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p w:rsidR="00EB524D" w:rsidRDefault="00EB524D" w:rsidP="004E10C3">
      <w:pPr>
        <w:pStyle w:val="ListParagraph"/>
        <w:tabs>
          <w:tab w:val="left" w:pos="2730"/>
        </w:tabs>
        <w:ind w:left="1080"/>
        <w:rPr>
          <w:color w:val="000000" w:themeColor="text1"/>
        </w:rPr>
      </w:pPr>
    </w:p>
    <w:sectPr w:rsidR="00EB524D" w:rsidSect="009245CA">
      <w:footerReference w:type="default" r:id="rId9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C1" w:rsidRDefault="000B5DC1" w:rsidP="00A3044A">
      <w:r>
        <w:separator/>
      </w:r>
    </w:p>
  </w:endnote>
  <w:endnote w:type="continuationSeparator" w:id="0">
    <w:p w:rsidR="000B5DC1" w:rsidRDefault="000B5DC1" w:rsidP="00A3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54" w:rsidRPr="007357B1" w:rsidRDefault="00B71354" w:rsidP="003F0190">
    <w:pPr>
      <w:autoSpaceDE w:val="0"/>
      <w:autoSpaceDN w:val="0"/>
      <w:adjustRightInd w:val="0"/>
      <w:jc w:val="center"/>
      <w:rPr>
        <w:sz w:val="14"/>
        <w:szCs w:val="14"/>
      </w:rPr>
    </w:pPr>
    <w:r>
      <w:rPr>
        <w:rFonts w:ascii="Tahoma" w:hAnsi="Tahoma" w:cs="Tahoma"/>
        <w:noProof/>
        <w:color w:val="4F4F4F"/>
        <w:sz w:val="14"/>
        <w:szCs w:val="1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0424E" wp14:editId="337C914A">
              <wp:simplePos x="0" y="0"/>
              <wp:positionH relativeFrom="column">
                <wp:posOffset>390525</wp:posOffset>
              </wp:positionH>
              <wp:positionV relativeFrom="paragraph">
                <wp:posOffset>-7620</wp:posOffset>
              </wp:positionV>
              <wp:extent cx="49530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53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8B14AC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75pt,-.6pt" to="420.7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A5zwEAAIgDAAAOAAAAZHJzL2Uyb0RvYy54bWysU8FuGyEQvVfqPyDu9W4SJ0pXXudgK71U&#10;raUkHzBhYRcJGMRQr/33HbCTuu2tqg+YYZg38x5vVw8H78ReJ7IYenm1aKXQQeFgw9jLl+fHT/dS&#10;UIYwgMOge3nUJB/WHz+s5tjpa5zQDToJBgnUzbGXU86xaxpSk/ZAC4w6cNJg8pA5TGMzJJgZ3bvm&#10;um3vmhnTEBMqTcSn21NSriu+MVrl78aQzsL1kmfLdU11fS1rs15BNyaIk1XnMeAfpvBgAzd9h9pC&#10;BvEj2b+gvFUJCU1eKPQNGmOVrhyYzVX7B5unCaKuXFgciu8y0f+DVd/2uyTs0MulFAE8P9FTTmDH&#10;KYsNhsACYhLLotMcqePrm7BL54jiLhXSB5N8+Wc64lC1Pb5rqw9ZKD5cfr69aVt+AvWWa34VxkT5&#10;i0YvyqaXzoZCGzrYf6XMzfjq25VyHPDROlefzgUx9/Lu5rYgAxvIOMi89ZEpURilADeyM1VOFZHQ&#10;2aFUFxw60sYlsQc2B3tqwPmZx5XCAWVOMIf6K+R5gt9KyzhboOlUXFMnL3mb2dDO+l7eX1a7UDrq&#10;askzqSLoScKye8XhWJVtSsTPXZuerVn8dBnz/vIDWv8EAAD//wMAUEsDBBQABgAIAAAAIQCuqjG+&#10;3QAAAAgBAAAPAAAAZHJzL2Rvd25yZXYueG1sTI/NbsIwEITvlXgHaytxAyfQUpTGQQjEoTeatlKP&#10;S7z5aeN1FDuQvn2NeqDHnRnNfpNuRtOKM/WusawgnkcgiAurG64UvL8dZmsQziNrbC2Tgh9ysMkm&#10;dykm2l74lc65r0QoYZeggtr7LpHSFTUZdHPbEQevtL1BH86+krrHSyg3rVxE0UoabDh8qLGjXU3F&#10;dz4YBcNxV0bNYTl+fS5zObw8HT/2ZaXU9H7cPoPwNPpbGK74AR2ywHSyA2snWgWr+DEkFcziBYjg&#10;rx+uwulPkFkq/w/IfgEAAP//AwBQSwECLQAUAAYACAAAACEAtoM4kv4AAADhAQAAEwAAAAAAAAAA&#10;AAAAAAAAAAAAW0NvbnRlbnRfVHlwZXNdLnhtbFBLAQItABQABgAIAAAAIQA4/SH/1gAAAJQBAAAL&#10;AAAAAAAAAAAAAAAAAC8BAABfcmVscy8ucmVsc1BLAQItABQABgAIAAAAIQCmEGA5zwEAAIgDAAAO&#10;AAAAAAAAAAAAAAAAAC4CAABkcnMvZTJvRG9jLnhtbFBLAQItABQABgAIAAAAIQCuqjG+3QAAAAgB&#10;AAAPAAAAAAAAAAAAAAAAACkEAABkcnMvZG93bnJldi54bWxQSwUGAAAAAAQABADzAAAAMwUAAAAA&#10;" strokecolor="windowText" strokeweight=".5pt">
              <v:stroke joinstyle="miter"/>
            </v:line>
          </w:pict>
        </mc:Fallback>
      </mc:AlternateContent>
    </w:r>
    <w:r w:rsidRPr="00330540">
      <w:rPr>
        <w:rFonts w:ascii="Tahoma" w:hAnsi="Tahoma" w:cs="Tahoma"/>
        <w:color w:val="4F4F4F"/>
        <w:sz w:val="14"/>
        <w:szCs w:val="14"/>
        <w:lang w:val="it-IT"/>
      </w:rPr>
      <w:t>Auto</w:t>
    </w:r>
    <w:r>
      <w:rPr>
        <w:rFonts w:ascii="Tahoma" w:hAnsi="Tahoma" w:cs="Tahoma"/>
        <w:color w:val="4F4F4F"/>
        <w:sz w:val="14"/>
        <w:szCs w:val="14"/>
        <w:lang w:val="it-IT"/>
      </w:rPr>
      <w:t>strada Tiranë - Durrës, Km 9 , Yrshek, Kashar, Tiranë</w:t>
    </w:r>
    <w:r w:rsidRPr="00330540">
      <w:rPr>
        <w:rFonts w:ascii="Tahoma" w:hAnsi="Tahoma" w:cs="Tahoma"/>
        <w:color w:val="4F4F4F"/>
        <w:sz w:val="14"/>
        <w:szCs w:val="14"/>
        <w:lang w:val="it-IT"/>
      </w:rPr>
      <w:t xml:space="preserve">, </w:t>
    </w:r>
    <w:r w:rsidRPr="00330540">
      <w:rPr>
        <w:rFonts w:ascii="Tahoma" w:hAnsi="Tahoma" w:cs="Tahoma"/>
        <w:color w:val="C00000"/>
        <w:sz w:val="14"/>
        <w:szCs w:val="14"/>
        <w:lang w:val="it-IT"/>
      </w:rPr>
      <w:t>Tel</w:t>
    </w:r>
    <w:r w:rsidRPr="00330540">
      <w:rPr>
        <w:rFonts w:ascii="Tahoma" w:hAnsi="Tahoma" w:cs="Tahoma"/>
        <w:color w:val="FF230E"/>
        <w:sz w:val="14"/>
        <w:szCs w:val="14"/>
        <w:lang w:val="it-IT"/>
      </w:rPr>
      <w:t xml:space="preserve"> </w:t>
    </w:r>
    <w:r w:rsidRPr="00330540">
      <w:rPr>
        <w:rFonts w:ascii="Tahoma" w:hAnsi="Tahoma" w:cs="Tahoma"/>
        <w:color w:val="4F4F4F"/>
        <w:sz w:val="14"/>
        <w:szCs w:val="14"/>
        <w:lang w:val="it-IT"/>
      </w:rPr>
      <w:t xml:space="preserve">+355 4 2225581, </w:t>
    </w:r>
    <w:r w:rsidRPr="00330540">
      <w:rPr>
        <w:rFonts w:ascii="Tahoma" w:hAnsi="Tahoma" w:cs="Tahoma"/>
        <w:color w:val="C00000"/>
        <w:sz w:val="14"/>
        <w:szCs w:val="14"/>
      </w:rPr>
      <w:t>Fax</w:t>
    </w:r>
    <w:r w:rsidRPr="00330540">
      <w:rPr>
        <w:rFonts w:ascii="Tahoma" w:hAnsi="Tahoma" w:cs="Tahoma"/>
        <w:color w:val="E81818"/>
        <w:sz w:val="14"/>
        <w:szCs w:val="14"/>
      </w:rPr>
      <w:t xml:space="preserve"> </w:t>
    </w:r>
    <w:r w:rsidRPr="00330540">
      <w:rPr>
        <w:rFonts w:ascii="Tahoma" w:hAnsi="Tahoma" w:cs="Tahoma"/>
        <w:color w:val="4F4F4F"/>
        <w:sz w:val="14"/>
        <w:szCs w:val="14"/>
      </w:rPr>
      <w:t xml:space="preserve">+355 4 2225581, </w:t>
    </w:r>
    <w:hyperlink r:id="rId1" w:history="1">
      <w:r w:rsidRPr="00330540">
        <w:rPr>
          <w:rStyle w:val="Hyperlink"/>
          <w:rFonts w:ascii="Tahoma" w:hAnsi="Tahoma" w:cs="Tahoma"/>
          <w:sz w:val="14"/>
          <w:szCs w:val="14"/>
        </w:rPr>
        <w:t>info@ost.al</w:t>
      </w:r>
    </w:hyperlink>
    <w:r>
      <w:rPr>
        <w:rStyle w:val="Hyperlink"/>
        <w:rFonts w:ascii="Tahoma" w:hAnsi="Tahoma" w:cs="Tahoma"/>
        <w:sz w:val="14"/>
        <w:szCs w:val="14"/>
      </w:rPr>
      <w:t>,</w:t>
    </w:r>
    <w:r w:rsidRPr="00D33E60">
      <w:rPr>
        <w:rStyle w:val="Hyperlink"/>
        <w:rFonts w:ascii="Tahoma" w:hAnsi="Tahoma" w:cs="Tahoma"/>
        <w:color w:val="FFFFFF" w:themeColor="background1"/>
        <w:sz w:val="14"/>
        <w:szCs w:val="14"/>
      </w:rPr>
      <w:t xml:space="preserve"> </w:t>
    </w:r>
    <w:hyperlink r:id="rId2" w:history="1">
      <w:r w:rsidRPr="00330540">
        <w:rPr>
          <w:rStyle w:val="Hyperlink"/>
          <w:rFonts w:ascii="Tahoma" w:hAnsi="Tahoma" w:cs="Tahoma"/>
          <w:sz w:val="14"/>
          <w:szCs w:val="14"/>
        </w:rPr>
        <w:t>www.ost.al</w:t>
      </w:r>
    </w:hyperlink>
  </w:p>
  <w:p w:rsidR="00B71354" w:rsidRDefault="00B71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C1" w:rsidRDefault="000B5DC1" w:rsidP="00A3044A">
      <w:r>
        <w:separator/>
      </w:r>
    </w:p>
  </w:footnote>
  <w:footnote w:type="continuationSeparator" w:id="0">
    <w:p w:rsidR="000B5DC1" w:rsidRDefault="000B5DC1" w:rsidP="00A3044A">
      <w:r>
        <w:continuationSeparator/>
      </w:r>
    </w:p>
  </w:footnote>
  <w:footnote w:id="1">
    <w:p w:rsidR="00283898" w:rsidRPr="00E43B37" w:rsidRDefault="0028389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K</w:t>
      </w:r>
      <w:r w:rsidR="00F24CD8" w:rsidRPr="00DB5136">
        <w:t>ë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e n</w:t>
      </w:r>
      <w:r w:rsidR="00F24CD8" w:rsidRPr="00DB5136">
        <w:t>ë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vijim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RrTShB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01E8"/>
    <w:multiLevelType w:val="hybridMultilevel"/>
    <w:tmpl w:val="68EC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86677"/>
    <w:multiLevelType w:val="multilevel"/>
    <w:tmpl w:val="8BB4F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1E7C89"/>
    <w:multiLevelType w:val="multilevel"/>
    <w:tmpl w:val="FBB63C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3228BA"/>
    <w:multiLevelType w:val="hybridMultilevel"/>
    <w:tmpl w:val="EE1C4A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24133"/>
    <w:multiLevelType w:val="hybridMultilevel"/>
    <w:tmpl w:val="6E0E898C"/>
    <w:lvl w:ilvl="0" w:tplc="4F54C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323E55"/>
    <w:multiLevelType w:val="multilevel"/>
    <w:tmpl w:val="FBB63C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E3463E1"/>
    <w:multiLevelType w:val="hybridMultilevel"/>
    <w:tmpl w:val="3168EB78"/>
    <w:lvl w:ilvl="0" w:tplc="E52E95E6">
      <w:start w:val="1"/>
      <w:numFmt w:val="upperRoman"/>
      <w:lvlText w:val="%1."/>
      <w:lvlJc w:val="left"/>
      <w:pPr>
        <w:ind w:left="1485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7E4A22D7"/>
    <w:multiLevelType w:val="hybridMultilevel"/>
    <w:tmpl w:val="8E0E322C"/>
    <w:lvl w:ilvl="0" w:tplc="C8782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4A"/>
    <w:rsid w:val="00001E05"/>
    <w:rsid w:val="000028E8"/>
    <w:rsid w:val="0000328C"/>
    <w:rsid w:val="00004C46"/>
    <w:rsid w:val="000132B4"/>
    <w:rsid w:val="00013605"/>
    <w:rsid w:val="000229C5"/>
    <w:rsid w:val="00022B27"/>
    <w:rsid w:val="00024971"/>
    <w:rsid w:val="00033817"/>
    <w:rsid w:val="00033E43"/>
    <w:rsid w:val="00037BBE"/>
    <w:rsid w:val="00040184"/>
    <w:rsid w:val="00041674"/>
    <w:rsid w:val="0004370D"/>
    <w:rsid w:val="000471F6"/>
    <w:rsid w:val="00050C66"/>
    <w:rsid w:val="0005194D"/>
    <w:rsid w:val="0005201B"/>
    <w:rsid w:val="00067B64"/>
    <w:rsid w:val="00067D68"/>
    <w:rsid w:val="0007071F"/>
    <w:rsid w:val="00074D07"/>
    <w:rsid w:val="0008065C"/>
    <w:rsid w:val="0008153B"/>
    <w:rsid w:val="00082CB5"/>
    <w:rsid w:val="00084639"/>
    <w:rsid w:val="00085671"/>
    <w:rsid w:val="000910E2"/>
    <w:rsid w:val="000A1C0D"/>
    <w:rsid w:val="000A2C6D"/>
    <w:rsid w:val="000A3F79"/>
    <w:rsid w:val="000B00F1"/>
    <w:rsid w:val="000B5DC1"/>
    <w:rsid w:val="000B66DB"/>
    <w:rsid w:val="000C168A"/>
    <w:rsid w:val="000D276A"/>
    <w:rsid w:val="000D3772"/>
    <w:rsid w:val="000D3C25"/>
    <w:rsid w:val="000E056B"/>
    <w:rsid w:val="000E2996"/>
    <w:rsid w:val="000E4DC4"/>
    <w:rsid w:val="000F39F1"/>
    <w:rsid w:val="000F52A2"/>
    <w:rsid w:val="001013B9"/>
    <w:rsid w:val="0010160F"/>
    <w:rsid w:val="00102984"/>
    <w:rsid w:val="0010597E"/>
    <w:rsid w:val="00111862"/>
    <w:rsid w:val="00113885"/>
    <w:rsid w:val="00115382"/>
    <w:rsid w:val="00116FCA"/>
    <w:rsid w:val="001201B9"/>
    <w:rsid w:val="0012482E"/>
    <w:rsid w:val="001303F6"/>
    <w:rsid w:val="00132468"/>
    <w:rsid w:val="0014055A"/>
    <w:rsid w:val="00145254"/>
    <w:rsid w:val="00145F23"/>
    <w:rsid w:val="0014620C"/>
    <w:rsid w:val="001477DE"/>
    <w:rsid w:val="00151AD1"/>
    <w:rsid w:val="00156AD2"/>
    <w:rsid w:val="00156FDC"/>
    <w:rsid w:val="001573B8"/>
    <w:rsid w:val="0016018F"/>
    <w:rsid w:val="001601E0"/>
    <w:rsid w:val="001666D8"/>
    <w:rsid w:val="00170645"/>
    <w:rsid w:val="00173FE8"/>
    <w:rsid w:val="00190656"/>
    <w:rsid w:val="00196A38"/>
    <w:rsid w:val="00197530"/>
    <w:rsid w:val="001A670C"/>
    <w:rsid w:val="001B0D9E"/>
    <w:rsid w:val="001B6FD4"/>
    <w:rsid w:val="001B797B"/>
    <w:rsid w:val="001B7B66"/>
    <w:rsid w:val="001D01D5"/>
    <w:rsid w:val="001D5936"/>
    <w:rsid w:val="001D6BCB"/>
    <w:rsid w:val="001E1A40"/>
    <w:rsid w:val="001E4351"/>
    <w:rsid w:val="001E7974"/>
    <w:rsid w:val="001F01A3"/>
    <w:rsid w:val="001F15DC"/>
    <w:rsid w:val="001F1C1B"/>
    <w:rsid w:val="001F6EDA"/>
    <w:rsid w:val="00200258"/>
    <w:rsid w:val="00203D0C"/>
    <w:rsid w:val="00204EFF"/>
    <w:rsid w:val="002052D3"/>
    <w:rsid w:val="00213BBA"/>
    <w:rsid w:val="002173E3"/>
    <w:rsid w:val="002179CD"/>
    <w:rsid w:val="002312CB"/>
    <w:rsid w:val="00240E56"/>
    <w:rsid w:val="00245B16"/>
    <w:rsid w:val="00246B13"/>
    <w:rsid w:val="00261829"/>
    <w:rsid w:val="00264014"/>
    <w:rsid w:val="00277443"/>
    <w:rsid w:val="00280727"/>
    <w:rsid w:val="0028073E"/>
    <w:rsid w:val="002824F4"/>
    <w:rsid w:val="00282772"/>
    <w:rsid w:val="00282FA1"/>
    <w:rsid w:val="00283898"/>
    <w:rsid w:val="002877CA"/>
    <w:rsid w:val="00292AC2"/>
    <w:rsid w:val="002A39C5"/>
    <w:rsid w:val="002A45FD"/>
    <w:rsid w:val="002B1183"/>
    <w:rsid w:val="002B5A33"/>
    <w:rsid w:val="002B789E"/>
    <w:rsid w:val="002C164B"/>
    <w:rsid w:val="002C72CF"/>
    <w:rsid w:val="002C7723"/>
    <w:rsid w:val="002D083A"/>
    <w:rsid w:val="002D7AA9"/>
    <w:rsid w:val="002E6853"/>
    <w:rsid w:val="002F53A7"/>
    <w:rsid w:val="002F6581"/>
    <w:rsid w:val="002F7536"/>
    <w:rsid w:val="00301254"/>
    <w:rsid w:val="00302F92"/>
    <w:rsid w:val="00303436"/>
    <w:rsid w:val="00305C95"/>
    <w:rsid w:val="0031244C"/>
    <w:rsid w:val="00313C6D"/>
    <w:rsid w:val="003164BE"/>
    <w:rsid w:val="00317D0D"/>
    <w:rsid w:val="0032528E"/>
    <w:rsid w:val="003261EF"/>
    <w:rsid w:val="00331E7A"/>
    <w:rsid w:val="00332B5A"/>
    <w:rsid w:val="00335F3B"/>
    <w:rsid w:val="00336431"/>
    <w:rsid w:val="00340AA6"/>
    <w:rsid w:val="003472DF"/>
    <w:rsid w:val="00350B02"/>
    <w:rsid w:val="00360328"/>
    <w:rsid w:val="003627E0"/>
    <w:rsid w:val="00364312"/>
    <w:rsid w:val="0036434F"/>
    <w:rsid w:val="003767A7"/>
    <w:rsid w:val="003858A2"/>
    <w:rsid w:val="00395BEE"/>
    <w:rsid w:val="003A4BED"/>
    <w:rsid w:val="003B0CB1"/>
    <w:rsid w:val="003C1B65"/>
    <w:rsid w:val="003C4A65"/>
    <w:rsid w:val="003D28EE"/>
    <w:rsid w:val="003D334F"/>
    <w:rsid w:val="003E79CE"/>
    <w:rsid w:val="003F0190"/>
    <w:rsid w:val="003F03CF"/>
    <w:rsid w:val="003F518A"/>
    <w:rsid w:val="003F620E"/>
    <w:rsid w:val="00402E93"/>
    <w:rsid w:val="00405D0B"/>
    <w:rsid w:val="004078B2"/>
    <w:rsid w:val="0041242B"/>
    <w:rsid w:val="00421574"/>
    <w:rsid w:val="004330A8"/>
    <w:rsid w:val="00435133"/>
    <w:rsid w:val="00436544"/>
    <w:rsid w:val="0044025A"/>
    <w:rsid w:val="00442A89"/>
    <w:rsid w:val="00445B40"/>
    <w:rsid w:val="00447A28"/>
    <w:rsid w:val="00447CC7"/>
    <w:rsid w:val="00462659"/>
    <w:rsid w:val="004660D8"/>
    <w:rsid w:val="00466591"/>
    <w:rsid w:val="00473706"/>
    <w:rsid w:val="00477E45"/>
    <w:rsid w:val="00483D91"/>
    <w:rsid w:val="00486CAF"/>
    <w:rsid w:val="00487716"/>
    <w:rsid w:val="004912FE"/>
    <w:rsid w:val="004B11D1"/>
    <w:rsid w:val="004B3DC7"/>
    <w:rsid w:val="004B4FB6"/>
    <w:rsid w:val="004B5E84"/>
    <w:rsid w:val="004C147A"/>
    <w:rsid w:val="004C1ABB"/>
    <w:rsid w:val="004C64BA"/>
    <w:rsid w:val="004D3199"/>
    <w:rsid w:val="004D588E"/>
    <w:rsid w:val="004D74B0"/>
    <w:rsid w:val="004E10C3"/>
    <w:rsid w:val="004E1CF7"/>
    <w:rsid w:val="004E362D"/>
    <w:rsid w:val="004E486D"/>
    <w:rsid w:val="004E5058"/>
    <w:rsid w:val="004E62FA"/>
    <w:rsid w:val="004F0BB7"/>
    <w:rsid w:val="004F0DF7"/>
    <w:rsid w:val="004F25D2"/>
    <w:rsid w:val="00511000"/>
    <w:rsid w:val="00514C0A"/>
    <w:rsid w:val="005200E5"/>
    <w:rsid w:val="005202CF"/>
    <w:rsid w:val="00523F35"/>
    <w:rsid w:val="00536D61"/>
    <w:rsid w:val="005466F7"/>
    <w:rsid w:val="0055392B"/>
    <w:rsid w:val="00556A67"/>
    <w:rsid w:val="00557CE3"/>
    <w:rsid w:val="0056165B"/>
    <w:rsid w:val="00561C24"/>
    <w:rsid w:val="005671A7"/>
    <w:rsid w:val="00584ED0"/>
    <w:rsid w:val="00585218"/>
    <w:rsid w:val="005914B3"/>
    <w:rsid w:val="00593B01"/>
    <w:rsid w:val="00594683"/>
    <w:rsid w:val="005A071E"/>
    <w:rsid w:val="005A6A5F"/>
    <w:rsid w:val="005C3202"/>
    <w:rsid w:val="005C39A2"/>
    <w:rsid w:val="005C4578"/>
    <w:rsid w:val="005D5BA9"/>
    <w:rsid w:val="005F0ED5"/>
    <w:rsid w:val="005F115F"/>
    <w:rsid w:val="005F5137"/>
    <w:rsid w:val="005F558D"/>
    <w:rsid w:val="005F562E"/>
    <w:rsid w:val="005F75CD"/>
    <w:rsid w:val="0062140E"/>
    <w:rsid w:val="00626CE1"/>
    <w:rsid w:val="006308CF"/>
    <w:rsid w:val="00634768"/>
    <w:rsid w:val="00640F34"/>
    <w:rsid w:val="00642A52"/>
    <w:rsid w:val="00645857"/>
    <w:rsid w:val="00645DE1"/>
    <w:rsid w:val="006460F5"/>
    <w:rsid w:val="006462C7"/>
    <w:rsid w:val="00646FC1"/>
    <w:rsid w:val="00661920"/>
    <w:rsid w:val="00663581"/>
    <w:rsid w:val="00684DAB"/>
    <w:rsid w:val="0068712A"/>
    <w:rsid w:val="00687B81"/>
    <w:rsid w:val="0069165A"/>
    <w:rsid w:val="00691B97"/>
    <w:rsid w:val="00692D23"/>
    <w:rsid w:val="006953A8"/>
    <w:rsid w:val="00696117"/>
    <w:rsid w:val="006A7F0C"/>
    <w:rsid w:val="006B2A93"/>
    <w:rsid w:val="006B3C76"/>
    <w:rsid w:val="006C1688"/>
    <w:rsid w:val="006C4BA2"/>
    <w:rsid w:val="006C743C"/>
    <w:rsid w:val="006D23AC"/>
    <w:rsid w:val="006D339C"/>
    <w:rsid w:val="006D4263"/>
    <w:rsid w:val="006D51EF"/>
    <w:rsid w:val="006D6AB6"/>
    <w:rsid w:val="006E1CE4"/>
    <w:rsid w:val="006E6B89"/>
    <w:rsid w:val="006E6C26"/>
    <w:rsid w:val="006F06C5"/>
    <w:rsid w:val="006F0C87"/>
    <w:rsid w:val="006F43B6"/>
    <w:rsid w:val="006F50F0"/>
    <w:rsid w:val="007013E5"/>
    <w:rsid w:val="00702251"/>
    <w:rsid w:val="00705C14"/>
    <w:rsid w:val="0071003B"/>
    <w:rsid w:val="007146EF"/>
    <w:rsid w:val="00715FE3"/>
    <w:rsid w:val="007201AD"/>
    <w:rsid w:val="0072022A"/>
    <w:rsid w:val="00722D30"/>
    <w:rsid w:val="00722E87"/>
    <w:rsid w:val="00723293"/>
    <w:rsid w:val="00726EFD"/>
    <w:rsid w:val="00730766"/>
    <w:rsid w:val="00732FA6"/>
    <w:rsid w:val="00734B8D"/>
    <w:rsid w:val="007406E5"/>
    <w:rsid w:val="007409D0"/>
    <w:rsid w:val="00741E07"/>
    <w:rsid w:val="007452C4"/>
    <w:rsid w:val="00746B71"/>
    <w:rsid w:val="00746E9E"/>
    <w:rsid w:val="0075264C"/>
    <w:rsid w:val="00754175"/>
    <w:rsid w:val="00755110"/>
    <w:rsid w:val="0075573D"/>
    <w:rsid w:val="007573E3"/>
    <w:rsid w:val="00757F9B"/>
    <w:rsid w:val="00762D7A"/>
    <w:rsid w:val="00773896"/>
    <w:rsid w:val="00774C9F"/>
    <w:rsid w:val="00792A26"/>
    <w:rsid w:val="00793A02"/>
    <w:rsid w:val="007A0661"/>
    <w:rsid w:val="007A449A"/>
    <w:rsid w:val="007A48CE"/>
    <w:rsid w:val="007A5693"/>
    <w:rsid w:val="007A56FF"/>
    <w:rsid w:val="007A61C8"/>
    <w:rsid w:val="007B0B95"/>
    <w:rsid w:val="007B1B69"/>
    <w:rsid w:val="007B543D"/>
    <w:rsid w:val="007B5888"/>
    <w:rsid w:val="007B7BE0"/>
    <w:rsid w:val="007B7D8E"/>
    <w:rsid w:val="007C02DE"/>
    <w:rsid w:val="007C05F0"/>
    <w:rsid w:val="007C79F0"/>
    <w:rsid w:val="007D1413"/>
    <w:rsid w:val="007E6508"/>
    <w:rsid w:val="007F069C"/>
    <w:rsid w:val="007F7054"/>
    <w:rsid w:val="007F79F6"/>
    <w:rsid w:val="008033FC"/>
    <w:rsid w:val="00803D85"/>
    <w:rsid w:val="00812E36"/>
    <w:rsid w:val="008140BC"/>
    <w:rsid w:val="00817CC1"/>
    <w:rsid w:val="00823C59"/>
    <w:rsid w:val="008303AD"/>
    <w:rsid w:val="008335C6"/>
    <w:rsid w:val="00834166"/>
    <w:rsid w:val="00834814"/>
    <w:rsid w:val="00834CD5"/>
    <w:rsid w:val="00835EC4"/>
    <w:rsid w:val="00837A8D"/>
    <w:rsid w:val="00841ED2"/>
    <w:rsid w:val="008425B1"/>
    <w:rsid w:val="008446F8"/>
    <w:rsid w:val="0084635D"/>
    <w:rsid w:val="0085509D"/>
    <w:rsid w:val="008632C1"/>
    <w:rsid w:val="008719D0"/>
    <w:rsid w:val="0087504F"/>
    <w:rsid w:val="00877F5E"/>
    <w:rsid w:val="008852C0"/>
    <w:rsid w:val="00896178"/>
    <w:rsid w:val="00897864"/>
    <w:rsid w:val="008A180D"/>
    <w:rsid w:val="008A18A2"/>
    <w:rsid w:val="008A425E"/>
    <w:rsid w:val="008B323A"/>
    <w:rsid w:val="008B4470"/>
    <w:rsid w:val="008B7B62"/>
    <w:rsid w:val="008C13C4"/>
    <w:rsid w:val="008C156F"/>
    <w:rsid w:val="008D1CF7"/>
    <w:rsid w:val="008D4471"/>
    <w:rsid w:val="008E0905"/>
    <w:rsid w:val="008E15FD"/>
    <w:rsid w:val="008E2460"/>
    <w:rsid w:val="008E5538"/>
    <w:rsid w:val="008F2456"/>
    <w:rsid w:val="00902198"/>
    <w:rsid w:val="0090304C"/>
    <w:rsid w:val="00903C19"/>
    <w:rsid w:val="00905A88"/>
    <w:rsid w:val="00910618"/>
    <w:rsid w:val="0091233D"/>
    <w:rsid w:val="00913860"/>
    <w:rsid w:val="009228D6"/>
    <w:rsid w:val="0092408E"/>
    <w:rsid w:val="009245CA"/>
    <w:rsid w:val="00926B5E"/>
    <w:rsid w:val="0094030A"/>
    <w:rsid w:val="00942900"/>
    <w:rsid w:val="00944D33"/>
    <w:rsid w:val="00951DE3"/>
    <w:rsid w:val="00952F65"/>
    <w:rsid w:val="00953F2A"/>
    <w:rsid w:val="00953FA6"/>
    <w:rsid w:val="00954833"/>
    <w:rsid w:val="009557DF"/>
    <w:rsid w:val="009560FA"/>
    <w:rsid w:val="009605FD"/>
    <w:rsid w:val="00963E58"/>
    <w:rsid w:val="00964DB7"/>
    <w:rsid w:val="00967A91"/>
    <w:rsid w:val="00967E99"/>
    <w:rsid w:val="00972366"/>
    <w:rsid w:val="0097443E"/>
    <w:rsid w:val="00977F4F"/>
    <w:rsid w:val="0098340D"/>
    <w:rsid w:val="009906F7"/>
    <w:rsid w:val="00992084"/>
    <w:rsid w:val="009924BC"/>
    <w:rsid w:val="00993518"/>
    <w:rsid w:val="009A4137"/>
    <w:rsid w:val="009A7E8B"/>
    <w:rsid w:val="009B2CB5"/>
    <w:rsid w:val="009B3AFF"/>
    <w:rsid w:val="009B426F"/>
    <w:rsid w:val="009B5E97"/>
    <w:rsid w:val="009B7328"/>
    <w:rsid w:val="009C3E25"/>
    <w:rsid w:val="009C4B3D"/>
    <w:rsid w:val="009C59E9"/>
    <w:rsid w:val="009C6BEB"/>
    <w:rsid w:val="009D63F4"/>
    <w:rsid w:val="009E0EF2"/>
    <w:rsid w:val="009E5F09"/>
    <w:rsid w:val="009F5CD7"/>
    <w:rsid w:val="00A014A1"/>
    <w:rsid w:val="00A05A3B"/>
    <w:rsid w:val="00A10DC3"/>
    <w:rsid w:val="00A24D2C"/>
    <w:rsid w:val="00A27FE3"/>
    <w:rsid w:val="00A3044A"/>
    <w:rsid w:val="00A314AA"/>
    <w:rsid w:val="00A36205"/>
    <w:rsid w:val="00A43180"/>
    <w:rsid w:val="00A4384C"/>
    <w:rsid w:val="00A4446B"/>
    <w:rsid w:val="00A4764C"/>
    <w:rsid w:val="00A70367"/>
    <w:rsid w:val="00A7622F"/>
    <w:rsid w:val="00A83F95"/>
    <w:rsid w:val="00A8740D"/>
    <w:rsid w:val="00A90F3F"/>
    <w:rsid w:val="00A9284D"/>
    <w:rsid w:val="00A93388"/>
    <w:rsid w:val="00A93752"/>
    <w:rsid w:val="00A94673"/>
    <w:rsid w:val="00A96B09"/>
    <w:rsid w:val="00AA1048"/>
    <w:rsid w:val="00AA14F3"/>
    <w:rsid w:val="00AB4357"/>
    <w:rsid w:val="00AB5366"/>
    <w:rsid w:val="00AB6A99"/>
    <w:rsid w:val="00AD2609"/>
    <w:rsid w:val="00AD370A"/>
    <w:rsid w:val="00AD50B5"/>
    <w:rsid w:val="00AD74E6"/>
    <w:rsid w:val="00AD7E2F"/>
    <w:rsid w:val="00AE142D"/>
    <w:rsid w:val="00AE43DA"/>
    <w:rsid w:val="00AE5BD5"/>
    <w:rsid w:val="00AF762F"/>
    <w:rsid w:val="00AF7892"/>
    <w:rsid w:val="00B04681"/>
    <w:rsid w:val="00B05F07"/>
    <w:rsid w:val="00B10953"/>
    <w:rsid w:val="00B10F87"/>
    <w:rsid w:val="00B147CC"/>
    <w:rsid w:val="00B161C9"/>
    <w:rsid w:val="00B26DD0"/>
    <w:rsid w:val="00B27E6B"/>
    <w:rsid w:val="00B31A7B"/>
    <w:rsid w:val="00B32C2B"/>
    <w:rsid w:val="00B35806"/>
    <w:rsid w:val="00B44FAA"/>
    <w:rsid w:val="00B4660E"/>
    <w:rsid w:val="00B5079F"/>
    <w:rsid w:val="00B52B30"/>
    <w:rsid w:val="00B53D98"/>
    <w:rsid w:val="00B5555F"/>
    <w:rsid w:val="00B57806"/>
    <w:rsid w:val="00B57ED7"/>
    <w:rsid w:val="00B60B2B"/>
    <w:rsid w:val="00B6161D"/>
    <w:rsid w:val="00B61999"/>
    <w:rsid w:val="00B62B64"/>
    <w:rsid w:val="00B667E4"/>
    <w:rsid w:val="00B71354"/>
    <w:rsid w:val="00B72BE6"/>
    <w:rsid w:val="00B745F3"/>
    <w:rsid w:val="00B74C52"/>
    <w:rsid w:val="00B75701"/>
    <w:rsid w:val="00B75880"/>
    <w:rsid w:val="00B803A4"/>
    <w:rsid w:val="00B941CA"/>
    <w:rsid w:val="00B96303"/>
    <w:rsid w:val="00BA2EC3"/>
    <w:rsid w:val="00BA58A7"/>
    <w:rsid w:val="00BB6653"/>
    <w:rsid w:val="00BC0A52"/>
    <w:rsid w:val="00BD1075"/>
    <w:rsid w:val="00BD138E"/>
    <w:rsid w:val="00BD534F"/>
    <w:rsid w:val="00BE3BFC"/>
    <w:rsid w:val="00BE6234"/>
    <w:rsid w:val="00BE67EF"/>
    <w:rsid w:val="00BF0CF1"/>
    <w:rsid w:val="00BF42AC"/>
    <w:rsid w:val="00BF7174"/>
    <w:rsid w:val="00C04B15"/>
    <w:rsid w:val="00C05436"/>
    <w:rsid w:val="00C150C0"/>
    <w:rsid w:val="00C17EAF"/>
    <w:rsid w:val="00C21475"/>
    <w:rsid w:val="00C26A33"/>
    <w:rsid w:val="00C318CE"/>
    <w:rsid w:val="00C3204C"/>
    <w:rsid w:val="00C329EC"/>
    <w:rsid w:val="00C34AC4"/>
    <w:rsid w:val="00C4535E"/>
    <w:rsid w:val="00C47C66"/>
    <w:rsid w:val="00C5421C"/>
    <w:rsid w:val="00C5548A"/>
    <w:rsid w:val="00C575E6"/>
    <w:rsid w:val="00C63554"/>
    <w:rsid w:val="00C63A64"/>
    <w:rsid w:val="00C648A4"/>
    <w:rsid w:val="00C64B88"/>
    <w:rsid w:val="00C67201"/>
    <w:rsid w:val="00C7242A"/>
    <w:rsid w:val="00C8113C"/>
    <w:rsid w:val="00C817E5"/>
    <w:rsid w:val="00C81E3E"/>
    <w:rsid w:val="00C86376"/>
    <w:rsid w:val="00C903EF"/>
    <w:rsid w:val="00C90E90"/>
    <w:rsid w:val="00C918BA"/>
    <w:rsid w:val="00C92831"/>
    <w:rsid w:val="00C9432C"/>
    <w:rsid w:val="00C959EA"/>
    <w:rsid w:val="00C97A9A"/>
    <w:rsid w:val="00CA6FB6"/>
    <w:rsid w:val="00CB3132"/>
    <w:rsid w:val="00CB5C3A"/>
    <w:rsid w:val="00CC54C5"/>
    <w:rsid w:val="00CC58CD"/>
    <w:rsid w:val="00CD1DFA"/>
    <w:rsid w:val="00CD209D"/>
    <w:rsid w:val="00CD60A6"/>
    <w:rsid w:val="00CE2340"/>
    <w:rsid w:val="00CF29E3"/>
    <w:rsid w:val="00CF5974"/>
    <w:rsid w:val="00D00E93"/>
    <w:rsid w:val="00D02919"/>
    <w:rsid w:val="00D038E3"/>
    <w:rsid w:val="00D10227"/>
    <w:rsid w:val="00D21B75"/>
    <w:rsid w:val="00D21C94"/>
    <w:rsid w:val="00D31642"/>
    <w:rsid w:val="00D361CA"/>
    <w:rsid w:val="00D41482"/>
    <w:rsid w:val="00D50426"/>
    <w:rsid w:val="00D52287"/>
    <w:rsid w:val="00D62B7E"/>
    <w:rsid w:val="00D6361A"/>
    <w:rsid w:val="00D66492"/>
    <w:rsid w:val="00D6677F"/>
    <w:rsid w:val="00D71E7F"/>
    <w:rsid w:val="00D72732"/>
    <w:rsid w:val="00D75EA1"/>
    <w:rsid w:val="00D91784"/>
    <w:rsid w:val="00D92B9B"/>
    <w:rsid w:val="00DA2DA9"/>
    <w:rsid w:val="00DA351F"/>
    <w:rsid w:val="00DA4178"/>
    <w:rsid w:val="00DB014C"/>
    <w:rsid w:val="00DB0A47"/>
    <w:rsid w:val="00DB46FE"/>
    <w:rsid w:val="00DB5136"/>
    <w:rsid w:val="00DC49DB"/>
    <w:rsid w:val="00DC4C18"/>
    <w:rsid w:val="00DD57A5"/>
    <w:rsid w:val="00DE2A4B"/>
    <w:rsid w:val="00DE3DAC"/>
    <w:rsid w:val="00DE5BD3"/>
    <w:rsid w:val="00DE6267"/>
    <w:rsid w:val="00DF0E7A"/>
    <w:rsid w:val="00DF794C"/>
    <w:rsid w:val="00E02426"/>
    <w:rsid w:val="00E036C6"/>
    <w:rsid w:val="00E0388E"/>
    <w:rsid w:val="00E05757"/>
    <w:rsid w:val="00E10708"/>
    <w:rsid w:val="00E1339A"/>
    <w:rsid w:val="00E1630F"/>
    <w:rsid w:val="00E22C89"/>
    <w:rsid w:val="00E309FE"/>
    <w:rsid w:val="00E33EDC"/>
    <w:rsid w:val="00E35A7B"/>
    <w:rsid w:val="00E37B25"/>
    <w:rsid w:val="00E40BEC"/>
    <w:rsid w:val="00E421CA"/>
    <w:rsid w:val="00E43B37"/>
    <w:rsid w:val="00E43C60"/>
    <w:rsid w:val="00E44420"/>
    <w:rsid w:val="00E4692A"/>
    <w:rsid w:val="00E53689"/>
    <w:rsid w:val="00E55442"/>
    <w:rsid w:val="00E638A0"/>
    <w:rsid w:val="00E64FE8"/>
    <w:rsid w:val="00E66790"/>
    <w:rsid w:val="00E66E22"/>
    <w:rsid w:val="00E72DF6"/>
    <w:rsid w:val="00E7449C"/>
    <w:rsid w:val="00E766B7"/>
    <w:rsid w:val="00E8104A"/>
    <w:rsid w:val="00E94CEA"/>
    <w:rsid w:val="00E97149"/>
    <w:rsid w:val="00EA7124"/>
    <w:rsid w:val="00EB0141"/>
    <w:rsid w:val="00EB047E"/>
    <w:rsid w:val="00EB317A"/>
    <w:rsid w:val="00EB524D"/>
    <w:rsid w:val="00EB5E85"/>
    <w:rsid w:val="00EB73AF"/>
    <w:rsid w:val="00EC1256"/>
    <w:rsid w:val="00ED0540"/>
    <w:rsid w:val="00ED0574"/>
    <w:rsid w:val="00ED2CB1"/>
    <w:rsid w:val="00ED559C"/>
    <w:rsid w:val="00EE00B1"/>
    <w:rsid w:val="00EE083B"/>
    <w:rsid w:val="00EE24DF"/>
    <w:rsid w:val="00EE3D04"/>
    <w:rsid w:val="00EE405F"/>
    <w:rsid w:val="00EF273F"/>
    <w:rsid w:val="00EF51B3"/>
    <w:rsid w:val="00EF59CC"/>
    <w:rsid w:val="00EF629C"/>
    <w:rsid w:val="00F009E0"/>
    <w:rsid w:val="00F00AB0"/>
    <w:rsid w:val="00F02FED"/>
    <w:rsid w:val="00F066BE"/>
    <w:rsid w:val="00F0731D"/>
    <w:rsid w:val="00F0789A"/>
    <w:rsid w:val="00F10D5B"/>
    <w:rsid w:val="00F122F9"/>
    <w:rsid w:val="00F13366"/>
    <w:rsid w:val="00F1682E"/>
    <w:rsid w:val="00F2116F"/>
    <w:rsid w:val="00F21F79"/>
    <w:rsid w:val="00F22190"/>
    <w:rsid w:val="00F24CD8"/>
    <w:rsid w:val="00F259D5"/>
    <w:rsid w:val="00F25CB8"/>
    <w:rsid w:val="00F25DFB"/>
    <w:rsid w:val="00F33FC7"/>
    <w:rsid w:val="00F41026"/>
    <w:rsid w:val="00F47570"/>
    <w:rsid w:val="00F54217"/>
    <w:rsid w:val="00F64564"/>
    <w:rsid w:val="00F66A6B"/>
    <w:rsid w:val="00F736FE"/>
    <w:rsid w:val="00F74764"/>
    <w:rsid w:val="00F93654"/>
    <w:rsid w:val="00F970C6"/>
    <w:rsid w:val="00F97154"/>
    <w:rsid w:val="00FA6126"/>
    <w:rsid w:val="00FB5D9C"/>
    <w:rsid w:val="00FC14BC"/>
    <w:rsid w:val="00FC3503"/>
    <w:rsid w:val="00FD0189"/>
    <w:rsid w:val="00FD0C91"/>
    <w:rsid w:val="00FD0E1D"/>
    <w:rsid w:val="00FD288D"/>
    <w:rsid w:val="00FD2E40"/>
    <w:rsid w:val="00FD59E1"/>
    <w:rsid w:val="00FD7BC1"/>
    <w:rsid w:val="00FD7E84"/>
    <w:rsid w:val="00FF0024"/>
    <w:rsid w:val="00FF1472"/>
    <w:rsid w:val="00FF22E0"/>
    <w:rsid w:val="00FF3827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A2B4F"/>
  <w15:chartTrackingRefBased/>
  <w15:docId w15:val="{4ADFB46B-0362-4F73-82DC-37CAFF9A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4A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A304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4A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uiPriority w:val="99"/>
    <w:unhideWhenUsed/>
    <w:rsid w:val="00A304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B1"/>
    <w:rPr>
      <w:rFonts w:ascii="Segoe UI" w:eastAsia="Times New Roman" w:hAnsi="Segoe UI" w:cs="Segoe UI"/>
      <w:sz w:val="18"/>
      <w:szCs w:val="18"/>
      <w:lang w:val="sq-AL" w:eastAsia="sq-AL"/>
    </w:rPr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"/>
    <w:basedOn w:val="Normal"/>
    <w:link w:val="ListParagraphChar"/>
    <w:uiPriority w:val="34"/>
    <w:qFormat/>
    <w:rsid w:val="001477DE"/>
    <w:pPr>
      <w:spacing w:before="120" w:after="240" w:line="276" w:lineRule="auto"/>
      <w:ind w:left="720"/>
      <w:contextualSpacing/>
      <w:jc w:val="both"/>
    </w:pPr>
    <w:rPr>
      <w:rFonts w:eastAsiaTheme="minorEastAsia" w:cstheme="minorBidi"/>
      <w:szCs w:val="22"/>
      <w:lang w:eastAsia="en-US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rsid w:val="001477DE"/>
    <w:rPr>
      <w:rFonts w:ascii="Times New Roman" w:eastAsiaTheme="minorEastAsia" w:hAnsi="Times New Roman"/>
      <w:sz w:val="24"/>
      <w:lang w:val="sq-AL"/>
    </w:rPr>
  </w:style>
  <w:style w:type="character" w:customStyle="1" w:styleId="tlid-translation">
    <w:name w:val="tlid-translation"/>
    <w:basedOn w:val="DefaultParagraphFont"/>
    <w:rsid w:val="001477DE"/>
  </w:style>
  <w:style w:type="paragraph" w:styleId="FootnoteText">
    <w:name w:val="footnote text"/>
    <w:basedOn w:val="Normal"/>
    <w:link w:val="FootnoteTextChar"/>
    <w:uiPriority w:val="99"/>
    <w:semiHidden/>
    <w:unhideWhenUsed/>
    <w:rsid w:val="002838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898"/>
    <w:rPr>
      <w:rFonts w:ascii="Times New Roman" w:eastAsia="Times New Roman" w:hAnsi="Times New Roman" w:cs="Times New Roman"/>
      <w:sz w:val="20"/>
      <w:szCs w:val="20"/>
      <w:lang w:val="sq-AL" w:eastAsia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2838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t.al" TargetMode="External"/><Relationship Id="rId1" Type="http://schemas.openxmlformats.org/officeDocument/2006/relationships/hyperlink" Target="mailto:info@ost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8F250-58F5-4D7D-A3A6-31B507C5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OST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Mara</dc:creator>
  <cp:keywords/>
  <dc:description/>
  <cp:lastModifiedBy>Griselda Merkaj</cp:lastModifiedBy>
  <cp:revision>2</cp:revision>
  <cp:lastPrinted>2021-01-12T08:10:00Z</cp:lastPrinted>
  <dcterms:created xsi:type="dcterms:W3CDTF">2021-05-26T16:01:00Z</dcterms:created>
  <dcterms:modified xsi:type="dcterms:W3CDTF">2021-05-26T16:01:00Z</dcterms:modified>
</cp:coreProperties>
</file>