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7D2A63" w:rsidRPr="007D2A63" w:rsidTr="007D2A63">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7D2A63" w:rsidRPr="007D2A63">
              <w:trPr>
                <w:tblCellSpacing w:w="0" w:type="dxa"/>
              </w:trPr>
              <w:tc>
                <w:tcPr>
                  <w:tcW w:w="0" w:type="auto"/>
                  <w:vAlign w:val="center"/>
                  <w:hideMark/>
                </w:tcPr>
                <w:p w:rsidR="007D2A63" w:rsidRPr="007D2A63" w:rsidRDefault="007D2A63" w:rsidP="007D2A63">
                  <w:pPr>
                    <w:spacing w:after="0" w:line="240" w:lineRule="auto"/>
                    <w:rPr>
                      <w:rFonts w:ascii="Tahoma" w:eastAsia="Times New Roman" w:hAnsi="Tahoma" w:cs="Tahoma"/>
                      <w:b/>
                      <w:bCs/>
                      <w:color w:val="505070"/>
                      <w:sz w:val="15"/>
                      <w:szCs w:val="15"/>
                    </w:rPr>
                  </w:pPr>
                </w:p>
              </w:tc>
            </w:tr>
          </w:tbl>
          <w:p w:rsidR="007D2A63" w:rsidRPr="007D2A63" w:rsidRDefault="007D2A63" w:rsidP="007D2A63">
            <w:pPr>
              <w:spacing w:after="0" w:line="240" w:lineRule="auto"/>
              <w:rPr>
                <w:rFonts w:ascii="Verdana" w:eastAsia="Times New Roman" w:hAnsi="Verdana" w:cs="Times New Roman"/>
                <w:sz w:val="15"/>
                <w:szCs w:val="15"/>
              </w:rPr>
            </w:pPr>
          </w:p>
        </w:tc>
      </w:tr>
      <w:tr w:rsidR="007D2A63" w:rsidRPr="007D2A63" w:rsidTr="007D2A63">
        <w:trPr>
          <w:tblCellSpacing w:w="0" w:type="dxa"/>
        </w:trPr>
        <w:tc>
          <w:tcPr>
            <w:tcW w:w="9000" w:type="dxa"/>
            <w:shd w:val="clear" w:color="auto" w:fill="A2C0DF"/>
            <w:vAlign w:val="center"/>
            <w:hideMark/>
          </w:tcPr>
          <w:p w:rsidR="007D2A63" w:rsidRPr="007D2A63" w:rsidRDefault="007D2A63" w:rsidP="007D2A63">
            <w:pPr>
              <w:spacing w:after="0" w:line="240" w:lineRule="auto"/>
              <w:rPr>
                <w:rFonts w:ascii="Verdana" w:eastAsia="Times New Roman" w:hAnsi="Verdana" w:cs="Times New Roman"/>
                <w:sz w:val="15"/>
                <w:szCs w:val="15"/>
              </w:rPr>
            </w:pPr>
          </w:p>
        </w:tc>
      </w:tr>
      <w:tr w:rsidR="007D2A63" w:rsidRPr="007D2A63" w:rsidTr="007D2A63">
        <w:trPr>
          <w:tblCellSpacing w:w="0" w:type="dxa"/>
        </w:trPr>
        <w:tc>
          <w:tcPr>
            <w:tcW w:w="0" w:type="auto"/>
            <w:vAlign w:val="center"/>
            <w:hideMark/>
          </w:tcPr>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br/>
              <w:t>VENDIM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Nr. 249, datë 11.12.2018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MBI MIRATIMIN E "PROPOZIMI I GJITHË OST-ve PËR NJË METODOLOGJI TË OFRIMIT TË TË DHËNAVE TË GJENERIMIT DHE NGARKESËS, NË PËRPUTHJE ME NENIN 17 TË RREGULLORES SË KOMISIONIT TË BASHKIMIT EVROPIAN (BE) 2016/1719 TË DATËS 26 SHTATOR 2016 PËR KRIJIMIN E NJË UDHËZUESI MBI ALOKIMIN E KAPACITETEVE NË AVANCË"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Në mbështetje të neneve 7, 16, 56 dhe 63, të ligjit nr. 43/2015 "Për sektorin e energjisë elektrike", i ndryshuar, neneve 117; 118-130 të Kodit të Transmetimit të miratuar me vendimin e Bordit të ERE-s nr. 186, datë 10.11.2017; nenit 17 të Rregullores së Komisionit të Bashkimit Evropian (BE) 2016/1719 të datës 26 shtator 2016; nenit 26 të "Rregullores për organizimin, funksionimin dhe procedurat e ERE-s", miratuar me vendimin të Bordit të ERE-s, nr. 96, datë 17.6.2016, Bordi i ERE-s në mbledhjen e tij të datës 11.12.2018, mbasi shqyrtoi relacionin e përgatitur nga drejtoritë teknike, mbi miratimin e "Propozimi i gjithë OST-ve për një metodologji të modelit të përbashkët të rrjetit në përputhje me nenin 17 të Rregullores së Komisionit të Bashkimit Evropian (BE) 2016/1719 të datës 26 Shtator 2016 për krijimin e një udhëzuesi mbi alokimin e kapaciteteve në avancë",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konstatoi 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Bordi i ERE-s, me vendimin nr. 237, datë 2.11.2018, ka filluar procedurën për miratimin e "Propozimi i gjithë OST-ve për një metodologji të ofrimit të të dhënave të gjenerimit dhe ngarkesës, në përputhje me nenin 17 të Rregullores së Komisionit të Bashkimit Evropian (BE) 2016/1719 të datës 26 shtator 2016 për krijimin e një udhëzuesi mbi alokimin e kapaciteteve në avancë."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ERE me shkresën nr. 55/68 prot., datë 7.11.2018 ka bërë njoftimin e fillimit të kësaj procedurë në median e shkruar si dhe me shkresën nr. 422/5 prot., datë 2.11.2018, ka përcjellë njoftimin e fillimit të procedurës pranë palëve të interesit.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Ky propozim vjen në zbatim të dispozitave të ligjit nr. 43/2015, "Për sektorin e energjisë elektrike", i ndryshuar, përkatësisht neni 56 dhe neni 63, si dhe në përmbushje të detyrimeve të përcaktuara në Kodin e Transmetimit të miratuar me vendim të Bordit të ERE-s nr. 186, datë 10.11.2017, përkatësisht neni 117 "Kërkesa të përgjithshme për shkëmbimin e të dhënave", si dhe nenet 118 deri 130 të tij. Propozimi është përshtatur në shqip nga Operatori i Sistemit të Transmetimit të Energjisë Elektrike (OST sh.a.) në përputhje me nenin 19 të dokumentit origjinal.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 Dokumenti vjen nga OST sha në vijim të komunikimit nr. 3886 prot., datë 25.5.2018 me objekt: "Propozimi i gjithë OST-ve për një metodologji të modelit të përbashkët të rrjetit në përputhje me nenin 18 të Rregullores së Komisionit të Bashkimit Evropian (BE) 2016/1719, të datës 26 shtator 2016 për krijimin e një udhëzuesi mbi alokimin e kapaciteteve në avancë", miratuar me vendimin e Bordit të ERE- s nr. 188, datë 20.8.2018 dhe është pjesë e të njëjtit kuadër metodologjik të Metodologjisë së Modelit të Përbashkët të Rrjetit, por i paraqitur dhe propozuar për miratim si </w:t>
            </w:r>
            <w:r w:rsidRPr="007D2A63">
              <w:rPr>
                <w:rFonts w:ascii="Verdana" w:eastAsia="Times New Roman" w:hAnsi="Verdana" w:cs="Times New Roman"/>
                <w:color w:val="000000"/>
                <w:sz w:val="15"/>
                <w:szCs w:val="15"/>
              </w:rPr>
              <w:lastRenderedPageBreak/>
              <w:t>akt më vete.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Dokumenti i përbërë nga 19 nene, saktëson kërkesat në lidhje me dorëzimin e të dhënave të gjenerimit dhe ngarkesës së nevojshme për të krijuar modelin e përbashkët, nëpërmjet të cilit do të bëhet në nivel evropian analiza e sigurisë me qëllim përcaktimin e kapaciteteve të lira në avancë por edhe ato të ditës në avancë apo brenda ditës.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Në përputhje me vendimin e marrë nga ENTSO-E dhe sipas udhëzimeve të përcjella, kjo metodologji do të zbatohet për të gjithë OST-të e vendeve anëtare të Bashkimit Evropian të cilat do ta përcjellin për miratim tek autoritet respektive rregullatore. OST-të nga një shtet joanëtar i Bashkimit Evropian, inkurajohen gjithashtu që ta përcjellin dokumentin pranë Autoritetit Rregullator duke siguruar një përkthim të dokumentit së bashku me versionin në gjuhën angleze.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Për gjithë sa më sipër, Bordi i ERE-s,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VENDOSI: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Të miratojë "Propozimin e të gjitha OST- ve për një metodologji të ofrimit të të dhënave të gjenerimit dhe ngarkesës në përputhje me nenin 17 të Rregullores së Komisionit të Bashkimit Evropian (BE) 2016/1719, të datës 26 shtator 2016, për krijimin e një udhëzuesi mbi alokimin e kapaciteteve në avancë". (Bashkëlidhur këtij vendimi.)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Versioni në gjuhën e origjinës (anglisht), ka përparësi në rast mosdakordësie në interpretim nga palët të versionit shqip</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Drejtoria Juridike dhe e Mbrojtjes së Konsumatorit të njoftojë palët e interesuara.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Ky vendim hyn në fuqi menjëherë.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Ky vendim botohet në Fletoren Zyrtare.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KRYETARI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Petrit Ahmeti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Propozimi i gjithë OST-ve për një metodologji të ofrimit të dhënave të gjenerimit dhe ngarkesës në përputhje me nenin 17 të Rregullores së Komisionit (BE) 2016/1719 të datës 26 shtator 2016 për krijimin e një udhëzuesi mbi alokimin e kapaciteteve në avancë.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Të gjith OST, duke marrë parasysh sa vijon: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ndërkohë: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Ky dokument është një propozim i përbashkët i krijuar nga të gjithë Operatorët e Sistemeve të Transmisionit (më poshtë referuar "OST") në lidhje me krijimin e një propozimi për një metodologji të ofrimit të dhënave të gjenerimit dhe ngarkesës (më poshtë referuar "GLDPM").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Ky propozim (më poshtë referuar "Propozimi CGMM") merr parasysh parimet e përgjithshme dhe objektivat e përcaktuara në Rregulloren e Komisionit (BE) 2016/1719 të datës 26 shtator 2016 për krijimin e një udhëzues mbi alokimin afatgjate të kapaciteteve (më poshtë referuar "Rregullorja 2016 / 1719 "), si dhe Rregulloren (KE) Nr 714/2009 e Parlamentit Evropian dhe e Këshillit e datës 13 korrik 2009 mbi kushtet për aksesin në rrjet për shkëmbimet ndërkufitare të energjisë elektrike (më poshtë referuar si" Rregullorja (KE) No 714/2009"). Qëllimi i Rregullores 2016/1719 është koordinimi dhe harmonizimi i llogaritjes së kapaciteteve dhe alokimin ne avancë ne tregjet ndër-rajonale. Për të lehtësuar këto synime, është e nevojshme për të gjithë OST-t të përdorin një model të përbashkët të rrjetit. Një model i përbashkët i rrjetit mund të krijohet vetëm nëse te gjitha OST- t do të kenë akses në të dhënat e gjenerimit dhe ngarkesës. "Gjenerimi" përfshin të gjitha injektimet në rrjetin e transmetimit dhe "Ngarkesa" përfshin të gjitha tërheqjet nga rrejti i transmetimit.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Ndërsa metodologjia GLDPM përshkruar në Propozimin GLDPM përcakton kërkesat në lidhje me dorëzimin e të dhënave të gjenerimit dhe ngarkesës të nevojshme për të krijuar modelin e përbashkët, rregullat per krijimin e një modeli të përbashkët të rrjetit janë trajtuar në metodologjine e modelit të përbashkët të rrjetit në pajtim me nenin 18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Neni 16 i Rregullores së Komisionit (BE) 2015/1222 të 24 korrikut 2015 krijimin e një udhëzim mbi alokimin e kapaciteteve dhe menaxhimin e kongjestionit (më poshtë referuar si "Rregullorja 2015/1222") i është referuar në nenin 17 të Rregullores 2016/1719 dhe përcakton disa kërkesat specifike që Propozimi GLDPM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duhet të marrë në konsideratë: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Jo më vonë se 10 muaj pas hyrjes nëfuqi të kësaj rregulloreje, gjithë OST -t bashkërisht do të zhvillojnë një propozim për metodologjinë të ofrimit të dhënave të gjenerimit dhe ngarkesës të nevojshme për ndërtimin e modelit të përbashkët te rrejtit. Propozimi do t'i nënshtrohet konsultimeve në përputhje me nenin 12. Propozimi duhet të përfshijë një arsyetim bazuar në objektivat e kësaj Rregulloreje për të kërkuar informacionin.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Propozimi për një metodologji të ofrimit të dhënave të gjenerimit dhe ngarkesës do të specifikojë cilat njësi gjenerimi dhe ngarkese duhet të ofrojnë informacjon në OST-t përkatëse me qëllim llogaritjen e kapaciteteve.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Propozimi për një metodologji të ofrimit të dhënave të gjenerimit dhe ngarkesës duhet të specifikojë të dhënat që do të ofrohen nga njësitë gjeneruese dhe ngarkesa për të OST-t. Informacioni duhet të paktën të përfshijë sa vijon: (a) information në lidhje me karakteristikat e tyre teknike; (B) informacione lidhur me disponueshmëri e njësive gjeneruese dhe ngarkesave; (C) informacione lidhur me programin e njësive gjeneruese; (D) information tjetër përkatës në lidhje me menyren e dispaçimit të njësive gjeneruese.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4. Metodologjia do të specifikojë afatet që do të aplikohen për njësitë gjeneruese dhe ngarkesat për të siguruar informacionin e përmendur në paragrafin 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Çdo OST do të përdorë dhe të ndajnë me OST-të e tjera informacionin e përmendur në paragrafin 3. Informacioni i referuar në paragrafin 3 (d) do të përdoret vetëm për qëllime të llogaritjes kapacitet.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Jo më vonë se dy muaj pas miratimit të metodologjisë së të ofrimit të dhënave të gjenerimit dhe ngarkesës nga të gjitha entet rregullatore, ENTSO- E do të publikojë: (a) listen e subjekteve që u kërkohet të ofrojnë information për OST-t; (B) listen e informacionit që u kërkohet të ofrojnë përmendur në paragrafin 3; (C) afatet për ofrimin e informacionit ",</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Neni 17 i Rregullores 2016/1719 përbën bazën ligjore të propozimi për një metodologji të ofrimit të dhënave të gjenerimit dhe ngarkesës për periudha afatgjata dhe përcakton disa kërkesa shtesë: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Jo më vonë se gjashtë muaj pas miratimit të metodologjisë të ofrimit të dhënave të gjenerimit dhe ngarkesës per periudhën - dite në avancë dhe brenda ditës, të përmendura në nenin 9 (6) të Rregullorja e Komisionit (BE) 2015/1222, të gjithë OST do të zhvillojë së bashku një propozim për një metodologjie të vetme të ofrimit të dhënave të gjenerimit dhe ngarkesës e nevojshme për krijimin e modelit të bashkuar të rrjetit për periudha kohore afatgjatë. Metodologjia duhet të jetë objekt i konsultimeve në përputhje me nenin 6. Mtodologjia duhet të marrë parasysh dhe të plotësojë metodologjinë e ofrimit të dhënave të gjenerimit dhe ngarkesës ne pajtim të nenit 16 të Rregullores (BE)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Per zhvillimin e metodologjisë të ofrimit të dhënave të gjenerimit dhe ngarkesës, do të zbatohen kërkesat e përcaktuara në nenin 16 të Rregullores (BE-s ë)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Neni 2 (2) i Rregullores 2015/1222 përcakton modelin e përbashkët e rrjetit si: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"JV/e bashkimi gjerë të dhënash, rënë dakord ndërmjet OST-ve të ndryshme që përshkruan karakteristika kryesore të sistemit energjitik (gjenerim, ngarkesë dhe topology rrjeti) dhe rregullat për ndryshimin e këtyre karakteristikave gjatëprocesit të llogaritjes së kapaciteteve"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Neni 2 (1) të Rregullores 2015/1222 përcakton modelin individual rrjetit si: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"Grupi të dhënash që përshkruan karakteristikat e sistemit të energjisë (gjenerim, ngarkesë dhe topologji rrjeti) dhe rregullat e lidhura për të ndryshuar këto karakteristika gjatë llogaritjes së kapaciteteve, përgatitur nga OST-t përgjegjës, që të bashkohen me modelet e tjerë individual të rrjetit për të krijuar modelin e përbashkët e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8) Neni 19 i Rregullores 2015/1222 përfshin gjithashtu dispozitat përkatëse: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Çdo modeli individual i rrjetir duhet të përfaqësoje parashikimin më të mirë të mundshme të kushteve të sistemit të transmisionit për çdo skenar të specifikuar nga OST-t në kohën kur modeli individual rrjetit është krijuar.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2. Modelet individuate rrjetit do të marrin parasysh të gjitha elementet e rrjetit të sistemit të transmisionit që janë përdorur në analizat rajonale te sigurise se operimit për periudhën kohore të dhënë.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C'do OST do të sigurojë të gjitha të dhënat e nevojshme në modelin individual të rrjetit për të lejuar rrjedhjen e fitqisë aktive dhe reaktive clhe analizat e tensionit në gjendje statike.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9) Neni 4 (8) i Rregullores 2016/1719 përcakton dy detyrime të mëtejshme: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"Propozimi për termat dhe kushtet ose metodologjitë duhet. të përfshijë një grafik kohor të propozuar për zbatimin e tyre dhe një përshkrim të ndikimit të tyre të pritshme mbi objektivat e kësaj rregulloreje. "</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10) Nenet 28 (1) dhe (2) të Rregullores 2015/1222 të përmendur në nenin 22 të Rregullores 2016/1719 formulon formulon detyrimet shtesë për Propozimi GLDPM në adresë të njësive gjeneruese dhe ngarkesave si ofrues të dhënash:</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"Për çdo periudhe të llogaritjes së kapacitetit përmendur në nenin 14 (1), secili njësi gjeneruese ose ngarkese subjekt i nenit 16 do të sigurojnë të dhënat e specifikuara në metodologjinë e ojrimit të të dhënave të gjenerimit dhe ngarkesës për OST përgjegjës për zonen përkatëse të kontrollit brenda afateve të përcaktuara.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Çdo njësi gjeneruese ose ngarkese që ofron informacion në përputhje me Nenin 16 (3) duhet të dorëzojë grupin më i besueshëm të mundshme të të dhënave".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11) Neni 4 (8) i Rregullores 2016/1719 kërkon që ndikimi i pritshëm i Propozimit GLDPM në objektivat e Rregullores 2016/1719 të jetë i përshkruar. Ndikimi është paraqitur më poshtë (pikat (12) deri (20) të këtij Seksionit).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Përshkrimi i ndikimit të Propozimit GLDPM në objektivat e Rregullores 2016/1719 duhet të lexohet së bashku me nenet përkatëse të Metodologjisë së modelit të përbashkët te rrejtit kërkuar në përputhje me nenin 18 të Rregullores 2016/1719 të jetë një metodologji shoqërues të Metodologjisë GLDPM. Propozimi GLDPM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kontribuon dhe nuk pengon në asnjë mënyrë arritjen e objektivave të nenit 3 të Rregullores 2016/1719. Në veçanti, Propozimi GLDPM i shërben objektivit të nxitjes të tregut efektiv ndër-kufitare me synimet afatgjata mbrojtëse ndër-kufitare për pjesëmarrësit e tregut (neni 3 (a) të Rregullores 2016/1719) duke kontribuar në llogaritjen e koordinuar të kapacitetit nëpërmjet një metodologjie të përbashkët për përgatitjen e modeleve të veçanta të rrjetit shkrirjen e tyre në modelin e përbashkët pan-evropiane të rrjetit për tregjet afatgjata, që përdoret vetëm në rajonet në rajonet e llogaritjes të kapacitetit, ku analiza e sigurisë është aplikuar në bazë të skenarëve të shumta në pajtim me neuin 10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12) Në pajtim me nenin 3 (b) të Rregullores 2016/1719, dhe duke marrë parasysh metodologjitë që do të zhvillohet sipas Rregullores 2016/1719 për llogaritjen e kapaciteteve, krijimi i modelit të përbashkët të rrjetit dhe përdorimin e tij në procesin e llogaritjes së kapaciteteve për alokimin afattgjatë, të përdorura vetëm në rajonet e llogaritjes të kapacitetit, ku analiza e sigurisë është aplikuar në bazë të skenarëve të shumta në pajtim me nenin 10 të Rregullores 2016/1719, do të optimizojë llogaritjen dhe alokimin e kapaciteteve ndër-rajonale, nëpërmjet metodologjisë dhe </w:t>
            </w:r>
            <w:r w:rsidRPr="007D2A63">
              <w:rPr>
                <w:rFonts w:ascii="Verdana" w:eastAsia="Times New Roman" w:hAnsi="Verdana" w:cs="Times New Roman"/>
                <w:color w:val="000000"/>
                <w:sz w:val="15"/>
                <w:szCs w:val="15"/>
              </w:rPr>
              <w:lastRenderedPageBreak/>
              <w:t>inputeve të njëjtë për përgatitjen e modeleve të veçanta të rrjetit dhe shkrirjen e tyre në modelin e përbashkët të rrjetit pan-evropian. Propozimi i GLDPM kontribuon në përmbushjen e këtij objektivi të Rregullores 2016/1719 duke përshkruar inputet e kërkuara për të lehtësuar përgatitjen e modeleve individuale të rrjetit që do të futen në modelin e përbashkët të rrjetit pan- evropian.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13) Propozimi GLDPM do të sigurojë që objektivi i trajtimit të drejtë dhe jo- diskriminues i OST-ve, NEMOS, Agjencive, autoriteteve rregullatore dhe pjesëmarrësve tregut është përmbushur aq sa kërkesat në lidhje me ofrimin e të dhënave për Propozimin GLDPM janë të njehësuara dhe të detyrueshme në të gjithë EU. Propozimi GLDPM, në përcaktimin e kërkesave për ofrimin e të dhënave për të lehtësuar funksionimin e CGMM në përputhje me nenin 18 të Rregullores 2016/1719, kontribuon në objektivin e të drejtes jo-diskriminuesepër për sigurimin e kapacitetit afat-gjatë ndër-rajonal (Neni 3 (c) i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14) Metodologjia CGM siguron dhe rrit transparencën dhe besueshmërinë e informacionit më tej në Nenin 3 (f) të Rregullores 2016/1719 duke ofruar për monitorim treguesit e cilësisë dhe ofrimin në kohë të të thënave për OST-t. Kërkesat e detajuara në lidhje me ofrimin e të dhënave në Propozimin GLDPM rrisin besueshmërinë e të dhënave që do të jenë në dispozicion të OST-ve për qëllim të krijimit të modeleve individuale të rrjetit dhe krijimin e modelit të rrjetit të përbashkët (për tregjet afatgjata, përdorur vetëm në rajonet në rajonet e llogaritjes të kapacitetit, ku analiza e sigurisë është aplikuar në bazë të skenarëve të shumta në pajtim me nenin 10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15) Propozimi GLDPM gjithashtu kontribuon në objektivin e respektimit e nevojës për alokimin afatgjatë të kapaciteteve në mënyrë të ndershme (Neni 3 (e) i Rregullores 2016/1719) përmes ofrimit të një modeli të përbashkët të rrjetit që do të përdoret në procesin e llogaritjes së kapaciteteve në bazë të modelit të rrjetit të përbashkët (për tregjet afatgjata, përdorur vetëm në rajonet në rajonet e llogaritjes të kapacitetit, ku analiza e sigurisë është aplikuar në bazë të skenarëve të shumta në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pajtim me nenin 10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16) Propozimi GLDPM do të kontribuojë në funksionimin efikas afatgjatë dhe zhvillimin e sistemit të transmetimit të energjisë elektrike dhe sektorit të energjisë elektrike në EU duke nxjerrë në pah kërkesat e përbashkëta në lidhje me ofrimin e të dhënave që do të përdoren si input për krijimin e modelit të përbashkët të rrjetit që do të përdoret në mënyrë të koordinuar në të gjithë ELT (për tregjet afatgjata, përdorur vetëm në rajonet në rajonet e llogaritjes të kapacitetit, ku analiza e sigurisë është aplikuar në bazë të skenarëve të shumta në pajtim me nenin 10 të Rregullores 2016/1719). (Neni 3 (g) i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17) Propozimi GLDPM kontribuon në objektivin e të drejtes jodiskriminuesepër për sigurimin e kapacitetit afat-gjatë ndër-rajonale (Neni 3 (c) të Rregullores 2016/1719) përsëri duke specifikuar kërkesat e përbashkëta të ofrimit të të dhënave që përbëjnë bazën për ofrimin e modelit të rrjetit të përbashkët (për tregjet afatgjata, përdorur vetëm në rajonet në rajonet e llogaritjes të kapacitetit, ku analiza e sigurisë është aplikuar në bazë të skenarëve të shumta në pajtim me nenin 10 të Rregullores 2016/1719). (Neni 3 (g) i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18) Neni 16 (1) i Rregullores 2015/1222 të cilit i referohet neni 17 i Rregullores 2016/1719 kërkon që një arsyetim bazuar në objektivin e rregullores për të kërkuar informacionin të përfshihet në këtë propozim. Është theksuar se </w:t>
            </w:r>
            <w:r w:rsidRPr="007D2A63">
              <w:rPr>
                <w:rFonts w:ascii="Verdana" w:eastAsia="Times New Roman" w:hAnsi="Verdana" w:cs="Times New Roman"/>
                <w:color w:val="000000"/>
                <w:sz w:val="15"/>
                <w:szCs w:val="15"/>
              </w:rPr>
              <w:lastRenderedPageBreak/>
              <w:t>Propozimi i GLDPM në përgjithësi përputhet me objektivat e Rregullores 2016/1719 në atë që informacioni që kërkohet kontribuon në formimin e modelit të përbashkët të rrjetit, në përputhje me kërkesat e përshkruara në Metodologjinë e Modelit të Përbashkëtte Rrjetit siç kërkohet në Nenin 18 i Rregullores 2016/1719. Informacioni që duhet të sigurohet për Propozimin GLDPM përbën inputet e kërkuara nga OST-të për të përgatitur modelet e tyre individuale të rrjetit më tej në metodologjinë e modelit të përbashkët te rrejtit të përmendur më sipër. Duke qënë se Propozimi GLDPM pengon raportimin e dyfishtë të informacionit, kërkesat për sigurimin e informacionit janë të balancuara dhe proporcionale. Propozimi gjithashtu lejon ofrimin e të të dhënave sipas mekanizmave ekzistues në juridiksionet individuale anembanë EU.</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Dorëzojnë këto Propozim GLDPM për ERE: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Lënda dhe fushëveprimi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Metodologjia e ofrimit të dhënave të gjenerimit dhe ngarkesës, përshkruar në këtë propozim është propozimi i përbashkët i të gjitha OST-ve në përputhje me nenin 17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Kjo metodologji do të zbatohet për të gjithë OST në zonën e përmendur në nenin 1 (2)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Kjo metodologji zbatohet gjithashtu për ato juridiksione jashtë zonës së referuar në Nenin 1 (2) të Rregullores 2016/1719, OST-të e të cilave i janë bashkuar procesit CGM në baza vullnetare në përputhje me dispozitat e Nenit 1 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Metodologjisë së Modelit të Përbashkët te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OST-të e përmendura në paragrafin 1 do të monitorojnë që në ato juridiksione që marrin pjesë në procesin e CGM në baza vullnetare në pajtim me paragrafin 3, të gjitha palët përkatëse respektojnë detyrimet e tyre.Nëse palët përkatëse 3 nuk respektojnë detyrimet thelbësore duke rrezikuar zbatimin dhe funksionimin e Rregullores 2016/1719, i OST-t e referuar në paragrafin 1 do të ndërpresë pjesëmarrjen vulnetare të OST-ve në procesin CGM në përputhje me procedurën e përcaktuar në nenin 4(2)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Kjo metodologji nuk zbatohet për lidhjet HVDC që operohen nga një OST nëse vendi anëtar korrespondues ka caktuar përgjegjës për përmbushjen e detyrimeve të përcaktuara në nenin 17 të Rregullores 2016/1719 një OST tjetër.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Përkufizimet dhe interpretimi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Dhënave të Gjenerimit dhe Ngarkesës e në pajtim me nenin 16 të Rregullores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Neni 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Parime të përgjithshme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Kjo metodologji përcakton të dhënat e gjenerimit dhe ngarkesës të cilat mund të kërkohen nga OST-të për të krijuar modelin e përbashkët të rrjetit. Secili OST ka të drejtë, por jo detyrimin për të marrë këto të dhëna nga zotëruesi i elementit përkatës të rrjetit ose pala përgjegjëse për sigurimin e informacionit, sipas rastit. me kusht që të plotësohen të gjitha kushtet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OST kërkon të dhënat për të ndërtuar modelin e vet individual të rrjetit ose të përmbushë detyrimet e tjera që janë të nevojshme për krijimin e modelit të përbashkët të rijetit; grupi i të dhënave të kërkuara duhet të jetë grupi minimal që i mundëson OST-së ta bëjë këtë;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të dhënat nuk janë në dispozicion të OST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ose në bazë të legjislacionit ose rregullave kombëtare, në baza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kontraktuale ose bazuar në ndonjë lloj tjetër mekanizmi ligjërisht detyrues;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ose si të dhëna të disponueshme nëpërmjet platformës qëndrore 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transparencës së informacionit në përputhje me Rregulloren e Komisionit (BE) nr. 543/2013 të datës 14 qershor 2013 për ofrimin dhe publikimin e të dhënave në tregjet e energjisë elektrike dhe ndryshimin e Aneksit I në Rregulloren (KE) nr. 714/2009 të Parlamentit Evropian dhe të Këshillit (më poshtë referuar: "Rregullorja 543/2013") ose në pajtim me Rregulloren (EU) nr. 1227/2011 të Parlamentit Evropian dhe të Këshillit të datës 25 tetor 2011 integritetit të tregut të energjisë dhe transparencës (më poshtë referuar si "Rregullorja 1227/2011 (REMIT)").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Kjo metodologji nuk u jep OST-ve të drejtën për të kërkuar të dhëna që nuk janë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përshkruar në mënyrë të qartë në këtë metodologji. Për shmangien e pasigurive, të dhënat që nuk përdoren për të ndërtuar modelet indviduale të rrjetit për periudha afatgjatajanë jashtë fushëveprimit të metodologjisë aktuale.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Kërkesa për hamionizim përcaktuar në Nenin 19 (4) të Rregullores 2015/1222 referuar Nenit 20 të Rregullores 2016/1719 kuptohet që i referohet harmonizimit të parimeve të modelimit. OST-t nuk do t'u detyrohen kërkesave për harmonizim për të marrë të dhëna të cilat ata i kanë te nevojshme për ndërtimin e modelit individual ose për të përmbushur detyrimet e tjera që janë thelbësore për krijimin e modelit të rrjetit të përbashkët.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Përveç rasteve kur është shprehur ndryshe, zotëruesi i elementit përkatës të rrjetit është pala që i kërkohet të sigurojë të dhënat për OST.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5. Të dhënat që do t'i ofrohen OST-së sipas kësaj metodologjie, në parim. duhet t'i ofrohen direkt OST-së. Në bazë të marrëveshjes së OST, palët që kërkohen të sigurojnë të dhëna sipas metodologjisë të ofrimit të dhënave të gjenerimit </w:t>
            </w:r>
            <w:r w:rsidRPr="007D2A63">
              <w:rPr>
                <w:rFonts w:ascii="Verdana" w:eastAsia="Times New Roman" w:hAnsi="Verdana" w:cs="Times New Roman"/>
                <w:color w:val="000000"/>
                <w:sz w:val="15"/>
                <w:szCs w:val="15"/>
              </w:rPr>
              <w:lastRenderedPageBreak/>
              <w:t>dhe ngarkesës do të lejohen të delegojnë detyrat në përputhje me parimet e përcaktuara në nenin 62 të Rregullores 2016/1719. OST nuk do të pengojë në mënyrë të paarsyeslime marrëveshjen e tij.</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Në varësi të detyrimeve konfidenciale të përcaktuara në Nenin 7 të Rregullores 2016/1719, OST mundet ndajnë të dhënat e marra me OST-t të tjera që marrin pjesë në procesin e CGM në pajtim me Nenin 16 (3) të Rregullores 2015/1222 referuara Nenit 17 të Rregullores 2016/1719, si dhe operatorët rregullues referuar në Nenin 19 të metodologjisë së modelit të përbashkë të rrjetit, operatorët bashkues përmendur në nenin 20 të metodologjisë së modelit të përbashkë të rrjetit dhe zotëruesit të platformës së informacionit të përmendur në nenin 21 të të metodologjisë së modelit të përbashkë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Lidhur me zbatueshmërinë e metodologjisë aktuale dhe zgjidhjen e mosmarrëveshjeve në lidhje me dispozitat që përfshijnë zbatimin dhe interpretimin e kësaj metodologjie dhe funksionimim e duhur të procesit të ofrimit të të dhënave aplikohen ligjet përkatëse kombëtare ose të EU.</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8. Të gjitha afatet e deklaruara në këtë Propozim GLDPM i referohen afateve të tregut siç përcaktohet në Nenin 2 (15) të Rregullores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9. Kjo metodologji lidhet vetëm me ofrimin e të dhënave dhe afatet lidhur me procesin e CGM dhe nuk ndikon në detyrimet ekzistuese apo të ardhshme për të siguruar të dhëna ose afatet lidhur me ndonjë proces tjetër të operimit të sistemit, nëse këto detyrime për të siguruar të dhënat ose këto afate bazohen në legjislacionin ose rregullat kombëtare. marrëveshjet kontraktuale, ose ndonjë lloj tjetër mekanizmi ligjërisht detyrues.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4</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Ofrimi i të dhënave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Secila palë e detyruar të ofrojë të dhëna sipas kësaj metodologjie do të respektojë rregullat e vendosuranga OST-ja përgjegjëse.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Kjo metodologji në lidhje me dispozitat e metodologjisë së modelit të përbashkë të rrjetit të kërkuara sipas nenit 18 të Rregullores 2016/1719 do 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mundësojë krijimin modelit të përbashkë të rrjetit sipas Nenit 22 të Rregullores 2016/1719. Në veçanti, kjo do të tliotë se kjo metodologjia katë bëjë me elementët e rrjetit të tensionit të lartë dhe të tensionit të ekstra të lartë, për aq kohë sa këto përdoren në analizat e sigurisë operative rajonale për periudhat përkatëse.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Ku kjo metodologji i referohet një ndarjeje nga burimet primare të energjisë, një ndarje në burime primare të energjisë në përputhje me ato të përdorura nga platforma qendrore e transparencës së informacionit referuar në Nenin 3 të Rregullores 543/2013.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5</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Operatoret e sistemit të shpërndarjes dhe atyre të mbyllura të shpërndrarjes - të dhënat strukturore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Operatoret e sistemit të shpëmdarjes dhe atyre të mbyllura të shpëmdrarjes duhet të sigurojnë të dhënat strukturore të përshkruara në paragrafin 2 të këtij neni, nëse këto elemente të rrjetit i përkasin nivelittë tensionit: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220 kV ose më lart;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prej më pak se 220 kV dhe elementet e rrjetit të cilat përdoren në analizat rajonale të sigurisë operative.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Elementet e përkatës të rrjetit dhe të dhënat që duhet të sigurohen për to janë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nën-stacionet: nivelet e tensionit, seksionet e zbarrave dhe nëse është e aplikueshme modelimi i pajisjeve komutuese, lloji çelsave, thikave, izolatorëve dhe celsave te ngarkesës;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linjat ose kabllot: karakteristikat elektrike, nën-stacionet në të cilat janë të lidhura;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transformatorëve të fuqisë: karakteristikat elektrike, nën-stacionet ku janë të lidhur, lloji i ancafkave, dhe llojin e rregullimit ku është e mundur;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paisjet e kompensimit të fuqise dhe sistemet e transmetimit fleksibël AC (FACTS): tipi, karakteristikat elektrike, dhe llojin e rregullimit ku është e mundur.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Operatoret e sistemit të shpëmdarjes dhe atyre të mbyllura të shpëmdrarjes duhet të sigurojnë një model apo një model ekuivalent të atyre pjesëve të rrjetit që operojnë në tension më të vogël se 220 kV nese: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këto pjesë të rrjetit kanë elemente të përdorur në analizat e sigurisë operative rajonale ose.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elementet përkatëse te rrjetit idhin: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një njesi gjenerimi ose ngarkese modeluar në mënyrë të detajuar në përputhje me nenin 8 ose 9 në tension 220 kV apo më të lartë;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dy nyje në tension 220 kV ose më e lartë.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Modelet dhe modelet ekuivalente sipas paragrafit 3 duhet të përmbajnë të paktën agregatët e ngarkesës të vecuara nga gjenerimi dhe kapaciteti gjenerues i vecuara nga burimet primare të energjisë dhe të vecuara nga ngarkesa në pjesët përkatëse të rrjetit të vecuara nga nën-stacionet e modelit ekuivalent ose nënstacionet në të cilat janë lidhur pjesët perkatëse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Operatoret e sistemit të shpërndarjes dhe atyre të mbyllura të shpëmdrarjes duhet të ofrojnë informacionin e mëposhtëm mbi limitet e monitorimit operativ për elementet përkatës të rrjetit të përshkruar në këtë nen: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a) një PATL që pasqyron vlerësimet nominale për çdo sezon. nëse vlerësimi nuk varet nga kushtet meteorologjike ose </w:t>
            </w:r>
            <w:r w:rsidRPr="007D2A63">
              <w:rPr>
                <w:rFonts w:ascii="Verdana" w:eastAsia="Times New Roman" w:hAnsi="Verdana" w:cs="Times New Roman"/>
                <w:color w:val="000000"/>
                <w:sz w:val="15"/>
                <w:szCs w:val="15"/>
              </w:rPr>
              <w:lastRenderedPageBreak/>
              <w:t>defekteve;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jë ose më shumë TATL, për sezonin përkatëse bazuar në PATL në fuqi, për çdo linjë transmetimi të modeluar, kabllo, transformator dhe pajisje DC;</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për çdo TATL të specifikuar sipas pikës (b), kohëzgjatjen TATL;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rrymën e stakimi për çdo pjesë përkatës të pajisjeve transmetuese të modeluar në mënyrë të qartë, nëse ësthë e mundur;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lerat maksimale dhe minimale të pranueshme në çdo nivel të tensionit nominal, në bazë të kodeve, standardeve, politikave dhe marrëveshjeve përkatëse në zbatim;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6</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Operatoret e sistemit të shpëmdarjes dhe atyre të mbyllura të shpërndrarjes - të dhënat variabël që ndryshjnë rrallë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Operatoret e sistemit të shpërndarjes dhe atyre të mbyllura të shpëmdrarjes duhet të ofrojnë të dhënat variabël që ndryshojnë rrallë të elementeve përkatës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pozicionin e ancafkave në gjithë transformatoret e modeluar përfshirë transformatorët fazë-shifter;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pozicionin më të mirë topologjik të parashikuar si konfiguracion i pritshëm i pjesëve përkatëse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Parametrat e komandimit për pikat e mëposhtme të pajisjeve rregulluese të referuara në nenet 5 dhe 8, respektivisht, kur janë të modeluara dhe relevante: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transformatorët e fuqisë dhe ancafkat e tyre;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transformatorët fazë - shifter dhe ancafkat e tyre;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Pajisjet kompenuese të energjisë reaktive: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1.</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shuntet kompensatore;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kompensatoret statike VAR;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kondesatorët sinkron;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kompensatoret statike sinkron (STATCOM) dhe pajisje të tjera fleksibël AC (FACTS);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iv.</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gjeneratorët e pajisur me rregulatorë tensjoni;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Parametrat e komandimit sipas pikës (c) duhet të përfshijnë të dhënat e mëposhtme kur është e aplikueshme: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 Gjëndja - në punë / jashtë pune;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vi. Mënyra e kontrollit - tensjoni, fuqia aktive, fuqia reaktive, faktori i fuqisë, rryma, ose mënyratë tjetëra të aplikueshme;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vii. Rregullimi i synuar në kV, MW, MVAr, PU, ose njësitë e tjera të përshtatshme;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viii. rregullimi i synuar në bandë;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ix.</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 rregullimi i faktorit të pjesëmarrjes;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nyjet balancuese.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7</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Operatoret e sistemit të shpërndarjes dhe atyre të mbyllura të shpëmdrarjes - të dhënat variabël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 Operatoret e sistemit të shpëmdarjes dhe atyre të mbyllura të shpërndrarjes duhet të ofrojnë të dhënat variabël të </w:t>
            </w:r>
            <w:r w:rsidRPr="007D2A63">
              <w:rPr>
                <w:rFonts w:ascii="Verdana" w:eastAsia="Times New Roman" w:hAnsi="Verdana" w:cs="Times New Roman"/>
                <w:color w:val="000000"/>
                <w:sz w:val="15"/>
                <w:szCs w:val="15"/>
              </w:rPr>
              <w:lastRenderedPageBreak/>
              <w:t>elementeve përkatës të rrjetit të referuara ne nenin 5:</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mosdisponueshmëria e planifikuar ose të detyruar të elementeve të modeluar;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veprimet përmirësuese topologjike në pajtim me Nenin 14 të Rregullores 2016/1719, si dhe masat topologjike të miratuara sipas metodologjisë së modelit të përbashkët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Gjenerimi - të dhënat strukturore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 Zotëruesit e njësive gjeneruese, duke përfshirë kondensatorët sinkron dhe pompat, duhet të sigurojnë informacionin përkatës përshkruar në këtë Nen në qofte se janë të modeluara në detaje, qoftë individuale apo së bashku. Njësitë gjeneruese duhet të modelohen në detaje në qoftë se janë të lidhura në një nivel të tensionit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220 kV ose më lart;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prej me pak se 220 kV dhe elementet e rrjetit të cilat përdoren në analizat rajonale të sigurisë operative.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Njësitë gjeneruese identike apo të ngjashme mund të modelohen në detaje së bashku nëse ky modelim është i mjaftueshëm në analizat rajonale të sigurisë operative. Për njësitë gjeneruese të modeluara në niënyrë të detajuar sëbashku, një model ekuivalent duhet të përfshihen në IGM. Zotëruesit e njësive gjeneruese individuale duhet të sigurojnë informacion të detajuar mbi njësitë gjeneruese dhe OSSh-ja përkatëse duhet të sigurojë informacion të detajuar mbi lidhjet e rtjetit në mënyrë që OST të mund të llogarisë modelin ekuivalent. Në rast të kundërt, OST- së do t'i ofrohet modeli i plotë ekuivalent.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3.0peratoret e sistemit të shpëmdarjes përfshi ata të mbyllur të shpëmdrarjes, duhet të sigurojë informacionin përkatës të përshkruar në këtë Nen për kapacitetin gjenerues të modeluar jo në detaje. Ky kapacitet gjenerues do të modelohet si tërësi i ndarë nga burimet primare të energjisë dhe ngarkesa.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Për njësitë gjeneruese të modeluara në detaje edhe për tërësine e kapacitetit gjenerues të ndarë nga burimet primare të energjisë dhe ngarkesës, duhet të sigurohen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pika e lidhjes;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burimi primar i energjisë.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Për njësitë gjeneruese të modeluara në mënyrë të detajuar në IGM duhet të përfshihen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vlerat maksimale dhe minimale të fuqisë aktive; përcaktuara si vlera për të cilat njësi gjeneruese mund të rregullohet. Në rastin e pompave hidroelektrike rezervuese, do të modelohen dy cikle dhe dy të dhëna duhet të jenë të jepen, një për të gjenerimin dhe një mënyrën e pompimit;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b) llojin e mënyrës së kontrollit, një nga të mëposhtmet: "jashtë pune", "kontrolli i tensionit", "kontrolli i faktorit te fuqisë", "kontrolli i fuqisë reaktive" dhe, për njësitë gjeneruese me tension të rregullueshëm, nyjet balancuese ku tensioni planifikuar është i vendosur;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vlerat maksimale dhe minimale të fuqisë reaktive kur është dhënë vlera minimale dhe maksimale e fuqisë aktive, si dhe, kurbën e aftësisë;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ngarkesa ndihmëse e njësisë gjeneruese që përfaqëson nevojat vetiake të njësisë gjeneruese duhet të modelohet si një ngarkesë jo-konform në pikën e lidhjes.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Për njësitë gjeneruese modeluar si tërësi në IGM duhet të përfshihen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Tërësia e kapacitetit gjenerues e veçuar nga burimet primare të energjisë dhe nga ngarkesa në pjesët përkatëse të rrjetit referuara ne Nenin 5 të veçuara nga nën-stacionet e modelit ekuivalent apo nën- stacionet në të cilat janë të lidhura pjesët përkatëse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Për njësitë gjeneruese modeluar si tërësi dhe menaxhuar nga një tërësi të dhënash të cilat janë përdorur në analizën rajonale të sigurisë të operimit duhet të përfshihen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Tërësia e kapacitetit gjenerues e veçuar nga burimet primare 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energjisë dhe nga ngarkesa menaxhuar nga një tërësi të dhënash në pjesët përkatëse të veçuara nga nën-stacionet e modelit ekuivalent apo nën-stacionet në të cilat janë të lidhura pjesët përkatëse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Gjenerimi - të dhënat variabël që ndryshjnë rrallë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Zotëruesit e njësive gjeneruese të modeluara në mënyrë të detajuar ose, në rastin e njësive gjeneruese të modeluara në mënyrë të detajuar së bashku, zotëruesit e njësive gjeneruese individuale duhet të japin të dhënat variabile që ndryshojnë rrallë në vijim për njësitë gjeneruese të referuara në nenin 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Kërkesa parësore për dispeçim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Informacioni i përmendur në paragrafin (1) (a) përbën infonnacionin në dispozicion në lidhje me mënyrën se si do të dispaçohen njësitë gjeneruese në përputhje me Nenin 16 (3) (d) të Rregullores 2015/1222, siç referohet në Nenin 17 të Rregullores 2016/1719 dhe do të përdoret vetëm për qëllim të llogaritjes së kapacitetit.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10</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Gjenerimi - të dhënat variabël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 Zotëruesit e njësive gjeneruese të modeluara në mënyrë të detajuar ose, në rastin e njësive gjeneruese të </w:t>
            </w:r>
            <w:r w:rsidRPr="007D2A63">
              <w:rPr>
                <w:rFonts w:ascii="Verdana" w:eastAsia="Times New Roman" w:hAnsi="Verdana" w:cs="Times New Roman"/>
                <w:color w:val="000000"/>
                <w:sz w:val="15"/>
                <w:szCs w:val="15"/>
              </w:rPr>
              <w:lastRenderedPageBreak/>
              <w:t>modeluara në mënyrë të detajuar së bashku, zotë ruesit e njësive gjeneruese individuale duhet të japin të dhënat variabile në vijim për njësitë gjeneruese të referuara në nenin 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informacion në lidhje me rezervat e sipërmë dhe të poshtme të fuqisë aktive dhe llojet e tjeratë sherbimeve ndihmëse;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planin e ndërprerjeve;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lloj i i testimit;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padisponueshmëria e planifikuar;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e) çdo kufizim të kapacitetit të fuqisë aktive;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f) parashikimi i prodhimittë fuqisë active.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Infomiacioni i përmendur në paragrafin (1) (a) përbën informacionin në dispozicion në lidhje me mënyrën se si do të dispaçohen njësitë gjeneruese në përputhje me Nenin 16 (3) (d) të Rregullores 2015/1222, siç referohet në Nenin 17 të Rregullores 2016/1719 dhe do të përdoret vetëm për qëllim të llogaritjes së kapacitetit.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11</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Ngarkesa - të dhënat strukturore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l.Ngarkesat duhet të sigurojnë informacionin përkatës përshkruar në këtë Nen në qofte se janë të modeluara në detaje, qoftë individuale apo së bashku. Njësitë gjeneruese duhet të modelohen në detaje në qoftë se janë të lidhura në një nivel të tensionit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220 kV ose me lart;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prej me pak se 220 kV dhe elementet e rrjetit të cilat përdoren në analizat rajonale të sigurisë operative.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Ngarkesa identike apo të ngjashme mund të modelohen në detaje së bashku nëse ky modelim është i mjaftueshëm në analizat rajonale të sigurisë operative. Për ngarkesat e modeluara në mënyrë të detajuar sëbashku, një model ekuivalent duhet të përfshihen në IGM. Zotëruesit ngarkesave individuale duhet të sigurojnë informacion të detajuar mbi ngarkesat dhe OSSh-ja përkatëse duhet të sigurojë informacion të detajuar mbi lidhjet e rrjetit në mënyrë që OST të mund të llogarisë modelin ekuivalent. Në rast të kundërt, OST-së do t'i ofrohet modeli i plotë ekuivalent.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3.Operatoret e sistemit të shpëmdarjes përfshi ata të mbyllur të shpëmdrarjes, duhet të sigurojë informacionin përkatës të përshkruar në këtë Nen për ngarkesa të modeluar jo në detaje te cilat duhen modeluar si tërësi.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3. Për ngarkesat e modeluara në detaje edhe për tërësine ngarkesave të ndarë nga gjenerimi, duhet të sigurohen të </w:t>
            </w:r>
            <w:r w:rsidRPr="007D2A63">
              <w:rPr>
                <w:rFonts w:ascii="Verdana" w:eastAsia="Times New Roman" w:hAnsi="Verdana" w:cs="Times New Roman"/>
                <w:color w:val="000000"/>
                <w:sz w:val="15"/>
                <w:szCs w:val="15"/>
              </w:rPr>
              <w:lastRenderedPageBreak/>
              <w:t>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pika e lidhjes;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konsumi maksimal i fuqisë active;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faktori i fuqisë ose fuqia reactive;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Përputhshëria (ku vlera "e vërtetë" nënkupton që konsumi i fuqisë aktive dhe reaktive i ngarkesës duhet të jetë i shkallëzuar kur shkallëzohet ngarkesën e përgjithshme).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Për ngarkesat e modeluara në mënyrë të detajuar duhet të ofrohen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karakteristikat e kontrollit të fuqisë reaktive, kur këto janë të instaluara;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uqinë maksimale dhe minimale aktive në dispozicion të kërkesës dhe kohëzgjatjen maksimale dhe minimale të çdo ndërprerje te fuqisë në dispozicion të kërkesës;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Për ngarkesat e modeluara si tërësi duhet të ofrohen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Tërësia e ngarkesave e veçuar nga gjenerimi në pjesët përkatëse të rrjetit referuara ne Nenin 5 të veçuara nga nën-stacionet e modelit ekuivalent apo nën-stacionet në të cilat janë të lidhura pjesët përkatëse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Për ngarkesat e modeluara si tërësi dhe menaxhuar nga një tërësi të dhënash të cilat janë përdorur në analizën rajonale të sigurisë të operimit duhet të përfshihen të dhënat e mëposhtme: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Tërësia e ngarkesave e veçuar nga gjenerimi e menaxhuar nga një tërësi të dhënash në pjesët përkatëse të veçuara nga nën-stacionet e modelit ekuivalent apo nën-stacionet në të cilat janë të lidhura pjesët përkatëse të rrjetit.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Neiii 12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Ngarkesa - të dhënat variabël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Zotëruesit e ngarkesave të modeluara në mënyrë të detajuar ose, në rastin e ngarkesave të modeluara në mënyrë të detajuar së bashku, duhet të japin të dhënat variabile në vijim për ngarkesat të referuara në nenin 11 kur është e mundur: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planin e ndërprerjeve;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b) parashikimi i fuqisë aktive në dispozicion të kërkesës dhe çdo përgjigje të planifikuar ndaj kërkesës;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Lidhjet HVDC - të dhënat strukturore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Lidhje HVDC do të modelohen pavarësisht nëse janë të vendosura tërësisht brenda një zone të vetme ofertuese apo lidhi dy zona ofertuese. OST ose OST-t e interesuar do të vendosin për shkallën e detajeve me të cilën duhet të modelohet lidhja HVDC. Ata duhet të bazojnë vendimin e tyre mbi funksionet për të cilat do të përdoret lidhja HVDC. Si parazgjedhje, një lidhje HVDC do të modelohet në mënyrë të detajuar dhe pjesët AC/DC e lidhjes HVDC do të shkëmbehen nga OST-t në fjalë, pavaresisht se funksionet per te cilat do të përdoret nuk e kërkojnë këtë.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Për lidhjet HVDC modeluar në mënyrë të detajuar dhe për ata modeluar në një mënyrë të thjeshtëzuar, duhet të përfshihen të dhënat në vijim: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Pika e lidhjes.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Për lidhjet HVDC të modeluara në detaje zotëruesi duhet të ofrojë një model të detajuar që do të përfshijë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karakteristikat elektrike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lloji dhe karakteristikat e mënyrave të komandimit.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Lidhjet HVDC të modeluara në mënyrë të thjeshtuar. do të përfaqësohen nga flukse ekuivalente në pikën e lidhjes.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14</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Lidhjet HVDC - të dhënat variabë l që ndryshjnë rrallë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l.Zotëruesit e lidhjeve HVDC të modeluara në mënyrë të detajuar duhet të japin të dhënat variabile që ndryshojnë rrallë për lidhjet HVDC të referuara në Nenin 13: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Parametrat e komandimit përfshi: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regjimin e punës - inverter / ndreqës;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mënyra e kontrollit - tensjoni, fuqia aktive, fuqia reaktive, faktori 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fuqisë, rryma, ose mënyratë tjetëratë aplikueshme;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iii. tensioni i synuar;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iv. nyjet balancuese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15</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Lidhjet HVDC - të dhënat variabël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l.Zotëruesit e lidhjeve HVDC të modeluara në mënyrë të detajuar duhet të japin të dhënat variabile për lidhjet HVDC të referuara në Nenin 13 nëse është e mundur: a) fuqia aktive e synuar;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16</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Afatet per ofrimin e informacionit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Afatet e paracaktuara për sigurimin e informacionit sipas llojit të të dhënave janë si më poshtë: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të dhënat strukturore: gjashtë muaj para hyrjes në veprim apo zbatimit të një ndryshimi në karakteristikat e elementit përkatës të rrjetit; vlefshmëria e të dhënave të ofruara duhet të konfirmohet çdo vit deri më 01 Prill;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të dhënat variabël dhe ato që ndryshjnë rrallë: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ndryshimet e pritshme për vitit vijues duhet të njoftohen në OST jo më vonë se data 01 Prill e çdo viti;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ndryshimet e pritshme për muajin në vijim duhet të njoftohen në OST jo më vonë se dita e pestë e çdo muaji;</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Kur cakton afatet për ofrimin e të dhënave, secili OST mund të caktojë një afat që është më pak kufizues për ofruesit e të dhënave sesa afati i përcaktuar në paragrafin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Kur një OST ka caktuar afatin më pak kufizues se afati i paracaktuar dhe me vone e ndryshon kete afat në një më të kufizuar, OST do të sigurojë që parimet e përshkruara në Rregulloren 2016/1719 në aspektin e konsultimit të palëve të interesuara ose në altemativë, të sigurojë që zhvillohen procese të mjaftueshme konsultimi dhe aprovimi përtë përmbushur kërkesat në nivel kombëtar, me kusht që qasja e tillë alternative të jetë në përputhje me parimet e përgjithshme të konsultimit të palëve të interesuara të përcaktuara në Rregulloren 2016/1719. Në asnjë rrethanë, OST-t nuk përcaktojnë afate kohore më të kufizuara për ofruesit e të dhënave sesa afatet e paracaktuara sipas kësaj metodologjie.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17</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Monitorimi i cilësisë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l.Secili OST do të monitorojë cilësinë e të dhënave që i janë dhënë, si dhe afatin kohortë dorëzimit të të dhënave dhe pajtueshmërinë e plotë me rregullat e zbatimit.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2. Nëse një OST identifikon probleme në lidhje me cilësinë e të dhënave që i janë ofruar ose kohëzgjatjen e dhënies </w:t>
            </w:r>
            <w:r w:rsidRPr="007D2A63">
              <w:rPr>
                <w:rFonts w:ascii="Verdana" w:eastAsia="Times New Roman" w:hAnsi="Verdana" w:cs="Times New Roman"/>
                <w:color w:val="000000"/>
                <w:sz w:val="15"/>
                <w:szCs w:val="15"/>
              </w:rPr>
              <w:lastRenderedPageBreak/>
              <w:t>së të dhënave ose pajtueshmërinë e përgjithshme me rregullat e zbatimit, në radhë të parë do të përpiqet të zgjidhë këto probleme direkt me subjektin në fjalë.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Afati kohor i zbatimit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as miratimit të metodologjisë së tanishme secili OST do të publikojë atë në internet, në përputhje me nenin 4 (13)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o më vonë se një muaj pas miratimittë metodologjisë aktuale, secili OST do të:</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nformojnë entitetet që duhet të ofrojnë të dhëna mbi informacionin që duhet të ofrojnë, si dhe afatet për sigurimin e informacionit;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ërcjellë informacionin e përcaktuar në (a) tek ENTSO-E;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ë përgatisë draft-rregullat e zbatimit mbi praktikat e dhënies së të dhënave duke specifikuar, për shembull, formatet e të dhënave dhe kërkesat teknike në lidhje me zbatimin e procesit IT të sigurimit të të dhënave në përputhje me ligjin kombëtar. Çdo OST do të sigurojë që këto rregulla të zbatimit të përdorin proceset ekzistuese të infrastrukturës dhe të ofrimit të të dhënave dhe signrojnë kohë të mjaftueshme për zbatim; ku OST-t do të sigurojnë gjithashtu edhe udhëzime të tjera që mund të kërkohen.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Jo më vonë se dy muaj pas miratimit të metodologjisë aktuale, ENTSO-E do të publikojë informacioni referuar në Nenin 16 (6) të Rregullores 2015/1222, siç referohet në Nenin 17 të Rregullores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Jo më vonë se dymbëdhjetë muaj pas miratimit të metodologjisë aktuale ose 14 dhjetorit 2017, cilado qoftë e vonuar, secili OST do të sigurojë që procesi i sigurimit të të dhënave të kërkuara për zbatimin e metodologjisë është funksional; kjo nënkupton që të gjitha hapat e nevojshme të kërkuara nga legjislacioni kombëtar ose rregulloret siç </w:t>
            </w:r>
            <w:r w:rsidRPr="007D2A63">
              <w:rPr>
                <w:rFonts w:ascii="Verdana" w:eastAsia="Times New Roman" w:hAnsi="Verdana" w:cs="Times New Roman"/>
                <w:color w:val="000000"/>
                <w:sz w:val="15"/>
                <w:szCs w:val="15"/>
              </w:rPr>
              <w:lastRenderedPageBreak/>
              <w:t>janë konsultimi i palëve të interesuara ose miratimi i ERE duhet të jenë përfunduar. Në minimum, rregullat e zbatimit duhet tëjenë finalizuar dhe procesi i sigurimit të të dhënave duhet të jetë testuar.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Neni 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Gjuha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Gjuha reference për këtë Propozim CGMM do të jetë Anglisht. Për shmangien e pasigurive, kur OST duhet të përkthejnë këtë propozim në gjuhën e tyre kombëtare, në rast të mospërputhjeve ndërmjet versionit në gjuhën angleze të publikuar nga OST në përputhje me nenin 4 (13) të Rregullores 2016/1719 dhe versionit në një gjuhë tjetër, OST, në përputhje me legjislacionin kombëtar, i siguron autoritetit rregullator pëkatës një përkthim të përditësuar të propozimit.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All TSOs' proposal for a generation and load data provision methodology in accordance with Article 17 of Commission Regulation (EU) 2016/1719 of 26 September 2016 establishing a guideline on forward capacity allocation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23 May 2017</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TSOs, taking into account the following:</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Whereas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This document is a common proposal developed by all Transmission System Operators (hereafter referred to as "TSOs") regarding the development of a proposal for a generation and load data provision methodology (hereafter referred to as "GLDPM").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This proposal (hereafter referred to as the "GLDPM Proposal") takes into account the general principles and goals set in Commission Regulation (EU) 2016/1719 of 26 September 2016 establishing a guideline on forward capacity allocation (hereafter referred to as "Regulation 2016/1719") as well as Regulation (EC) No 714/2009 of the European Parliament and of the Council of 13 July 2009 on conditions for access to the network for cross-border exchanges in electricity (hereafter referred to as "Regulation (EC) No 714/2009"). The goal of Regulation 2016/1719 is the coordination and harmonisation of capacity calculation and allocation in the long-term cross-zonal markets. To facilitate these aims, it is necessary for all TSOs to use a common grid model. A common grid model can only be created if all TSOs have access to the generation and load data that this requires. "Generation" encompasses all injections into the transmission network and "Load" encompasses all withdrawals from the transmission network.</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While the GLDPM described in the present GLDPM Proposal sets out requirements with respect to the delivery of the generation and load data required to establish the common grid model, the rules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on how to establish the common grid model itself are addressed in the common grid model methodology pursuant to Article 18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(4) Article 16 of Commission Regulation (EU) 2015/1222 of 24 July 2015 establishing a guideline on capacity allocation and congestion management (hereafter referred to as "Regulation 2015/1222") is referred to in Article 17 of Regulation 2016/1719 and defines several specific requirements that the GLDPM Proposal should take into account: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By 10 months after the entry into force of this Regulation all TSOs shall jointly develop a proposal for a single methodology for the delivery of the generation and load data required to establish the common grid model, which shall be subject to consultation in accordance with Article 12. The proposal shall include a justification based on the objectives of this Regulation for requiring the information.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The proposal for the generation and load data provision methodology shall specify which generation units and loads are required to provide information to their respective TSOs for the purposes of capacity calculation.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The proposal for a generation and load data provision methodology shall specify the information to be provided by generation units and loads to TSOs. The information shall at least include the following: (a) information related to their technical characteristics; (b) information related to the availability of generation units and loads; (c) information related to the schedules of generation units; (d) relevant available information relating to how generation units will be dispatched.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The methodology shall specify the deadlines applicable to generation units and loads for providing the information referred to in paragraph 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Each TSO shall use and share with other TSOs the information referred to in paragraph 3. The information referred to in paragraph 3(d) shall be used for capacity calculation purposes only.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No later than two months after the approval of the generation and load data provision methodology by all regulatory authorities, ENTSO for Electricity shall publish: (a) a list of the entities required to provide information to the TSOs; (b) a list of the information referred to in paragraph 3 to be provided; (c) deadlines for providing information."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 Article 17 of Regulation 2016/1719 constitutes the legal basis for the proposal for a generation and load data provision methodology for long-term time frames and sets out several additional requirements: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No later than six months after the approval of the generation and load data provision methodology established for the day-ahead and intraday time frames referred to in Article 9(6) of Regulation (EU) 2015/1222, all TSOs shall jointly develop a proposal for a single generation and load data provision methodology for delivering the generation and load data required to establish the common grid model for long-term time frames. The proposal shall be subject to consultation in accordance with Article 6. The methodology shall take into account and complement the generation and load data provision methodology according to Article 16 of Regulation (EU)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When developing the generation and load data provision methodology, the requirements set in Article 16 of Regulation (EU) 2015/1222 shall apply."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(6) Article 2(2) of Regulation 2015/1222 defines the common grid model as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Union-wide data set agreed between various TSOs describing the main characteristic (sic) of the power system (generation, loads and grid topology) and rules for changing these characteristics during the capacity calculation process"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Article 2(1) of Regulation 2015/1222 defines an individual grid model as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data set describing power system characteristics (generation, load and grid topology) and related rules to change these characteristics during capacity calculation, prepared by the responsible TSOs, to be merged with other individual grid model components in order to create the common grid model"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(8) Article 19 of Regulation 2015/1222 also includes relevant provisions: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Each individual grid model shall represent the best possible forecast of transmission system conditions for each scenario specified by the TSO(s) at the time when the individual grid model is created.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Individual grid models shall cover all network elements of the transmission system that are used in regional operational security analysis for the concerned time-frame."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Each TSO shall provide all necessary data in the individual grid model to allow active and reactive power flow and voltage analyses in steady state."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(9) Article 4(8) of Regulation 2016/1719 sets out two further obligations: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"The proposal for terms and conditions or methodologies shall include a proposed timescale for their implementation and a description of their expected impact on the objectives of this Regulation."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(10) Article 28(1) and (2) of Regulation 2015/1222 referred to in Article 22 of Regulation 2016/1719 formulates additional obligations relevant for the GLDPM Proposal addressed to the generation units and loads as data providers: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For each capacity calculation time-frame referred to in Article 14(1), each generator or load unit subject to Article 16 shall provide the data specified in the generation and load data provision methodology to the TSO responsible for the respective control area within the specified deadlines.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Each generator or load unit providing information pursuant to Article 16(3) shall deliver the most reliable set of estimations practicable."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(11) Article 4(8) of Regulation 2016/1719 requires that the expected impact of the GLDPM Proposal on the objectives of Regulation 2016/1719 is described. The impact is presented below (points (12) to (20) of this Whereas Section). The description of the impact of the GLDPM Proposal on the objectives of Regulation 2016/1719 should be read in conjunction with the related articles of the Common Grid Model Methodology required pursuant to Article 18 of </w:t>
            </w:r>
            <w:r w:rsidRPr="007D2A63">
              <w:rPr>
                <w:rFonts w:ascii="Verdana" w:eastAsia="Times New Roman" w:hAnsi="Verdana" w:cs="Times New Roman"/>
                <w:color w:val="000000"/>
                <w:sz w:val="15"/>
                <w:szCs w:val="15"/>
              </w:rPr>
              <w:lastRenderedPageBreak/>
              <w:t>Regulation 2016/1719 being a companion methodology to the GLDPM Methodology.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The GLDPM Proposal contributes to and does not in any way hamper the achievement of the objectives of Article 3 of Regulation 2016/1719. In particular, the GLDPM Proposal serves the objective of promoting effective long-term cross-zonal trade with long-term cross-zonal hedging opportunities for market participants (Article 3(a) of Regulation 2016/1719) in contributing to coordinated capacity calculation by prescribing the inputs required from the addressees of the proposal to facilitate the preparation of individual grid models to be merged into the common panEuropean grid model (for long-term markets, used only in capacity calculation regions where security analysis based on multiple scenarios pursuant to Article 10 of Regulation 2016/1719 is applied).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(12) In accordance with Article 3(b) of Regulation 2016/1719, and taking into account the capacity calculation methodologies to be developed under Regulation 2016/1719, the creation of the common grid model and use thereof in the capacity calculation process (for long-term markets. used only in capacity calculation regions where security analysis based on multiple scenarios pursuant to Article 10 of Regulation 2016/1719 is applied) will optimise the calculation and allocation of cross-zonal capacity by ensuring a common methodology and inputs for the preparation of individual grid models to be merged into the common pan-European grid model. The GLDPM Proposal contributes to meeting this objective of Regulation 2016/1719 by prescribing the inputs required from the addressees of the proposal to facilitate the preparation of individual grid models to be merged into the common pan-European grid model.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(13) The GLDPM Proposal ensures that the objective of fair and non-discriminatory treatment of TSOs, NEMOS, the Agency, regulatory authorities and market participants is met insofar as the requirements in respect of data provision by the addressees of the GLDPM Proposal are common and binding throughout the Union. The GLDPM Proposal, in setting out requirements for data provision to facilitate the operation of the Common Grid Model Methodology required pursuant to Article 18 of Regulation 2016/1719, contributes to the general aim of non-discriminatory a ccess to long-term cross-zonal capacity further to Article 3(c)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(14) The CGM Methodology ensures and enhances the transparency and reliability of information further to Article 3(f) of Regulation 2016/1719 by providing for monitoring of the quality and timely delivery of data to TSOs. The detailed requirements in relation to data provision in the GLDPM Proposal enhance the reliability of the data that will be available to TSOs for the purposes of creating individual grid models and the creation of the common grid model (for longterm markets, used only in capacity calculation regions where security analysis based on multiple scenarios pursuant to Article 10 of Regulation 2016/1719 is applied).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(15) The GLDPM Proposal also contributes to the objective of respecting the need for a fair and orderly forward capacity allocation (Article 3(e) of Regulation 2016/1719) by contributing to the provision of a common grid model to be used in the capacity calculation process on the basis of the common grid model (for long-term markets, used only in capacity calculation regions where security analysis based on multiple scenarios pursuant to Article 10 of Regulation 2016/1719 is applied).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(16) The GLDPM Proposal will contribute to the efficient long-term operation and development of the electricity transmission system and electricity sector in the Union by virtue of outlining the common requirements in terms of </w:t>
            </w:r>
            <w:r w:rsidRPr="007D2A63">
              <w:rPr>
                <w:rFonts w:ascii="Verdana" w:eastAsia="Times New Roman" w:hAnsi="Verdana" w:cs="Times New Roman"/>
                <w:color w:val="000000"/>
                <w:sz w:val="15"/>
                <w:szCs w:val="15"/>
              </w:rPr>
              <w:lastRenderedPageBreak/>
              <w:t>data provision to be used as inputs for creating the common grid model that will be used in a coordinated manner throughout the Union (for long-term markets, used only in capacity calculation regions where security analysis based on multiple scenarios pursuant to Article 10 of Regulation 2016/1719 is applied). (Article 3(g)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(17) The GLDPM Proposal contributes to the objective of providing non-discriminatory access to long-term cross-zonal capacity (Article 3(c) of Regulation 2016/1719) again by specifying the common data provision requirements that form the basis for provision of the common grid model (for long-term markets, used only in capacity calculation regions where security analysis based on multiple scenarios pursuant to Article 10 of Regulation 2016/1719 is applied).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(18) Article 16(1) of Regulation 2015/1222 which Article 17 of Regulation 2016/1719 refers to requires that a justification based on the objectives of the regulation for requiring the information sought is included in this proposal. It has been outlined that the GLDPM Proposal complies generally with the objectives of Regulation 2016/1719 in that the information being sought contributes to the formation of the common grid model, further to the requirements outlined in the Common Grid Model Methodology as required under Article 18 of Regulation 2016/1719. The information required to be provided by the addressees of the GLDPM Proposal constitute the inputs required by TSOs to prepare their individual grid models further to the Common Grid Model Methodology referenced above. As the GLDPM Proposal prevents double-reporting of information by the addressees of the proposal, the requirements for information provision are balanced and proportionate. The proposal further allows for the continuation of data provision under existing mechanisms in individual jurisdictions throughout the Union, thus ensuring as minimal an impact as possible on the addressees of the proposal.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SUBMIT THE FOLLOWING GLDPM PROPOSAL TO ALL REGULATORY AUTHORITIES: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Subject matter and scope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The generation and load data provision methodology described in this proposal is the common proposal of all TSOs in accordance with Article 17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This methodology shall apply in the area referred to in Article 1(2)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This methodology shall also apply to those jurisdictions outside the area referred to in Article 1(2) of Regulation 2016/1719 whose TSOs have joined the CGM process on a voluntary basis in accordance with the provisions in Article 1 of the common grid model methodology.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4. The TSOs referred to in paragraph 1 shall monitor that in those jurisdictions participating in the CGM process on a voluntary basis pursuant to paragraph 3 all relevant parties respect their obligations. If the relevant parties do not respect their essential obligations in a way that significantly endangers the implementation and operation of Regulation 2016/1719, the TSOs in the area referred to in paragraph 1 shall terminate the voluntary participation in </w:t>
            </w:r>
            <w:r w:rsidRPr="007D2A63">
              <w:rPr>
                <w:rFonts w:ascii="Verdana" w:eastAsia="Times New Roman" w:hAnsi="Verdana" w:cs="Times New Roman"/>
                <w:color w:val="000000"/>
                <w:sz w:val="15"/>
                <w:szCs w:val="15"/>
              </w:rPr>
              <w:lastRenderedPageBreak/>
              <w:t>the CGM process of the TSO(s) in the corresponding jurisdictions in accordance with the procedure set out in Article 4(2)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This methodology does not apply to HVDC connections that are operated by one TSO if the corresponding Member State has assigned the responsibility for complying with the obligations set out in Article 17 of Regulation 2016/1719 to a different TSO.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Definitions and interpretation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For the purposes of this proposal, the terms used shall have the meaning of the definitions included in Article 2 of Regulation 2016/1719 and the other items of legislation referenced therein as well as Article 2 of the Generation and Load Data Provision Methodology pursuant to Article 16 of Regulation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General principles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This methodology sets out the generation and load data which may be required by TSOs in order to establish the common grid model. Each TSO shall have the right but not the obligation to obtain these data from the owner of the corresponding network element or the party responsible for providing the information, as the case may be, provided that all of the following conditions are met: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the TSO requires the data in order to build its individual grid model or to meet other obligations that are essential to establishing the common grid model; the set of required data shall be the minimum set that enables the TSO to do 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the data are not already available to the TSO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either pursuant to national legislation or regulation, on a contractual basis or based upon some other kind of legally binding mechanism;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or as data publicly available via the central information transparency platform pursuant to Commission Regulation (EU) No 543/2013 of 14 June 2013 on submission and publication of data in electricity markets and amending Annex I to Regulation (EC) No 714/2009 of the European Parliament and of the Council (hereafter referred to as "Regulation 543/2013") or pursuant to Regulation (EU) No 1227/2011 of the European Parliament and of the Council of 25 October 2011 on wholesale energy market integrity and transparency (hereafter referred to as "Regulation 1227/2011 (REMIT)").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2. This methodology does not confer upon TSOs the right to request data not explicitly described in this methodology. For avoidance of doubt, data not used in order to build individual grid models for long-term time-frames are out of </w:t>
            </w:r>
            <w:r w:rsidRPr="007D2A63">
              <w:rPr>
                <w:rFonts w:ascii="Verdana" w:eastAsia="Times New Roman" w:hAnsi="Verdana" w:cs="Times New Roman"/>
                <w:color w:val="000000"/>
                <w:sz w:val="15"/>
                <w:szCs w:val="15"/>
              </w:rPr>
              <w:lastRenderedPageBreak/>
              <w:t>scope of the present methodology.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The harmonisation requirement set out in Article 19(4) of Regulation 2015/1222 referred to in Article 20 of Regulation 2016/1719 shall be understood to refer to the harmonisation of modelling principles. TSOs shall not invoke the harmonisation requirement in order to obtain data which they do not require in order to build their individual grid model or in order to meet other obligations that are essential to establishing the common grid model.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Except where explicitly stated otherwise, the owner of the corresponding network element shall be the party required to provide the data to the TSO.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Data to be provided to the TSO under this methodology shall, in principle, be provided directly to the TSO. Subject to the agreement of the TSO, parties required to provide data under the generation and load data provision methodology shall be allowed to delegate tasks in accordance with the principles set out in Article 62 of Regulation 2016/1719. The TSO shall not unreasonably withhold its agreement.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Subject to the confidentiality obligations set out in Article 7 of Regulation 2016/1719, TSOs may share the data obtained with other TSOs that participate in the CGM process pursuant to Article 16(3) of Regulation 2015/1222 referred to in Article 17 of Regulation 2016/1719 as well as the alignment agents referred to in Article 19 of the common grid model methodology, the merging agents referred to in Article 20 of the common grid model methodology, and the owner of the information platform referred to in Article 21 of the common grid model methodology.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Regarding the enforceability of the present methodology and the dispute resolution related to its provisions including the implementation and interpretation of this methodology and the proper functioning of the data provision process the relevant Union and national law applies.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8. All times stated in this GLDPM Proposal refer to market time as defined in Article 2(15) of Regulation 2015/1222.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9. This methodology solely relates to the provision of data and deadlines associated with the CGM process and does not affect existing or future obligations to provide data or deadlines related to any other system operation process if those obligations to provide data or those deadlines are based on national legislation or regulation, contractual arrangements, or some other kind of legally binding mechanism.</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4</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Data provision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Each party obliged to provide data under this methodology shall respect the implementation rules set by the responsible TSO.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2. This methodology in conjunction with the provisions of the common grid model methodology as required under Article 18 of Regulation 2016/1719 shall make it possible to create the common grid model pursuant to Article 22 of </w:t>
            </w:r>
            <w:r w:rsidRPr="007D2A63">
              <w:rPr>
                <w:rFonts w:ascii="Verdana" w:eastAsia="Times New Roman" w:hAnsi="Verdana" w:cs="Times New Roman"/>
                <w:color w:val="000000"/>
                <w:sz w:val="15"/>
                <w:szCs w:val="15"/>
              </w:rPr>
              <w:lastRenderedPageBreak/>
              <w:t>Regulation 2016/1719. In particular, this means that this methodology relates to the elements of the high-voltage and extra high-voltage network, insofar as these are used in regional operational securi ty analysis for the concerned time-frame.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Where this methodology refers to a breakdown by primary energy sources, a breakdown into primary energy sources consistent with those used by the central information transparency platform referred to in Article 3 of Regulation 543/2013 is required.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5</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Distribution and closed distribution system operators - structural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Distribution and closed distribution system operators shall provide the structural data described in paragraph 2 of this Article if these grid elements pertain to a voltage level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of 220 kV or above;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of less than 220 kV and they are used in regional operational security analysis.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The relevant grid elements and the data to be provided for these are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sub-stations: voltage levels, busbar sections and if applicable to the modelling approach used by the TSO switching devices to include switching device identifier and switching device type, comprising either breaker or isolator or load break switch;</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lines or cables: electrical characteristics, the sub-stations to which these are connected;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power transformers incl. phase-shifting power transformers: electrical characteristics, the sub-stations to which these are connected, the type of tap changer, and type of regulation, where applicable;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power compensation devices and flexible AC transmission systems (FACTS): type, electrical characteristics, and type of regulation where applicable.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Distribution and closed distribution system operators shall provide a model or an equivalent model of those parts of the grid operated at a voltage of less than 220 kV if</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these parts of the grid are used in regional operational security analysis, or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the relevant grid elements in those parts of the grid are connecting</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a generation unit or load modelled in detail in accordance with Article 8 or 11 to the 220 kV or higher voltage level; or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ii. two nodes at the 220 kV or higher voltage level.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Models and equivalent models pursuant to paragraph 3 shall contain aggregates of load separated from generation and generation capacity separated by primary energy sources and separated from load in the corresponding parts of the grid broken down by sub-stations of the equivalent model or the sub-stations to which the corresponding parts of the grid are connected.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Distribution and closed distribution system operators shall provide the following information on operational monitoring limits for the relevant grid elements described in this Article: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 PATL reflecting the nominal rating for each season if the rating does not depend upon meteorological conditions or the pre-fault loading;</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one or more TATLs, reflective of the corresponding season and based on the applicable PATL, for each explicitly modelled transmission line, cable, transformer and relevant item of DC equipment;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for each TATL specified pursuant to point (b) a TATL duration;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tripping current for each relevant item of explicitly modelled transmission equipment, if applicable;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e. maximum and minimum acceptable voltages at each nominal voltage level, as per relevant locally applicable codes, standards, licences, policies and agreements.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6</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Distribution and closed distribution system operators - infrequently changing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Distribution and closed distribution system operators shall provide the following infrequently changing variable data for the relevant network elements: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the tap position of all modelled power transformers including phase-shifting transformers without regulation;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the best forecast operational topological situation defined as the expected configuration of the corresponding parts of the grid;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control settings for the following items of regulating equipment referred to in Articles 5 and 8, respectively, where modelled and relevant: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power transformers and associated tap changers;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phase-shifting transformers and associated tap changers;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iii. reactive compensation devices: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shunt compensators - shunt capacitors or reactors or discretely switchable banks of shunt capacitors or reactors;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static VAR compensators;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synchronous condensers;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static synchronous compensators (STATCOMs) and other flexible AC transmission system (FACTS) devices;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iv. generators - with respect to voltage regulation;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the control settings pursuant to point (c) shall include the following data where applicable: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regulation status - enabled or disabled;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regulation mode - voltage, active power, reactive power, power factor, current or another mode as appropriate;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iii. regulation target or target range - in kV, MW, Mvar, p.u. or another unit as appropriate;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iv. regulation target deadband;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 regulation participation factor;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vi. regulated node.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7</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Distribution and closed distribution system operators -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Distribution and closed distribution system operators shall provide the following variable data for the network elements referr ed to in Article 5:</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the planned or forced unavailability of modelled items of equipment that are known to be unavailable;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topological remedial actions pursuant to Article 14 of Regulation 2016/1719 as well as topological agreed measures pursuant to the common grid model methodology.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Generation - structural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 xml:space="preserve">1. Owners of generation units including synchronous condensers and pumps shall provide the relevant information </w:t>
            </w:r>
            <w:r w:rsidRPr="007D2A63">
              <w:rPr>
                <w:rFonts w:ascii="Verdana" w:eastAsia="Times New Roman" w:hAnsi="Verdana" w:cs="Times New Roman"/>
                <w:color w:val="000000"/>
                <w:sz w:val="15"/>
                <w:szCs w:val="15"/>
              </w:rPr>
              <w:lastRenderedPageBreak/>
              <w:t>described in this Article if these are modelled in detail, whether on an individual or composite basis. Generation units shall be modelled in detail if they are connected at a voltage level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of 220 kV or above;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of less than 220 kV and they are used in regional operational security analysis.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Several identical or similar gener ation units may be modelled in detail on a composite basis if this modelling approach is sufficient with respect to regional operational security analysis. For generation units modelled in detail on a composite basis an equivalent model shall be included in the individual grid model. The owners of the individual generation units shall provide the detailed information on the generation units and the relevant DSO shall provide detailed information on the grid connections such that the TSO can compute the equivalent model. Alternatively the complete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equivalent model shall be provided to the TSO.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Distribution including closed distribution system operators shall provide the relevant information described in this Article for generation capacity not modelled in detail. This generation capacity shall be modelled as aggregates separated by primary energy sources and separated from load.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For both generation units modelled in detail and for aggregates of generation capacity separated by primary energy sources and separated from load the following data shall be provided: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connection point;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primary energy source.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For generation units modelled in detail, the following data shall be provided: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maximum active power and minimum active power; defined as those values which the generation unit can regulate to. In the case of hydroelectric pumped storage generation units, two cycles shall be modelled and two records have to be provided, being one for the generating mode and one for the pumping mode;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the type of control mode, being one of the following: disabled, voltage control, power factor control, reactive power control and, for voltage-controlled generation units, the regulated buses, where the scheduled voltage is set up;</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maximum and minimum values of reactive power when the minimum and maximum active power is delivered as well as the associated capability curve;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the auxiliary load of the generation unit representing the internal demand of the generation unit shall be modelled as a non-conforming load at the connection point of the generation unit.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6. For generation units modelled as aggregates the following data shall be provided: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aggregates of generation capacity separated by primary energy sources and separated from load in the corresponding parts of the grid referred to in Article 5 broken down by substations of the equivalent model or the sub-stations to which the corresponding parts of the grid are connected.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For generation units modelled as aggregates and managed by an aggregator whose data are used in regional operational security analysis, the aggregator shall provide the following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aggregates of generation capacity separated by primary energy sources and separated from load managed by the aggregator in the corresponding parts of the grid broken down by substations of the equivalent model or the sub-stations to which the corresponding parts of the grid are connected.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Generation - infrequently changing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Owners of generation units modelled in detail or, in the case of generation units modelled in detail on a composite basis, the owners of the individual generation units shall provide the following infrequently changing variable data for the generation units referred to in Article 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applicable priority dispatch requirements.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The information referred to in paragraph (l)(a) constitutes relevant available information relating to how generation units will be dispatched pursuant to Article 16(3)(d) of Regulation 2015/1222 as referred to in Article 17 of Regulation 2016/1719 and shall be used for capacity calculation purposes only.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10</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Generation -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Owners of generation units modelled in detail or, in the case of generation units modelled in detail on a composite basis, the owners of the individual generation units shall provide the following variable data for the generation units referred to in Article 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information about upward and downward active power reserves and other types of ancillary services;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outage plans;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testing profiles;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scheduled unavailability;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e. any active power capacity restrictions;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f. forecast active power output.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The information referred to in paragraph (l)(a) constitutes relevant available information relating to how generation units will be dispatched pursuant to Article 16(3)(d) of Regulation 2015/1222 as referred to in Article 17 of Regulation 2016/1719 and shall be used for capacity calculation purposes only.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11</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Load - structural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Loads shall provide the relevant information described in this Article if they are modelled in detail whether on an individual or composite basis. Loads shall be modelled in detail if they are connected at a voltage level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of 220 kV or above;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of less than 220 kV and they are used in regional operational security analysis.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Several identical or similar loads may be modelled in detail on a composite basis if this modelling approach is sufficient with respect to regional operational security analysis. For loads modelled in detail on a composite basis an equivalent model shall be included in the individual grid model. The owners of the loads shall provide the detailed information on the loads and the relevant DSO shall provide detailed information on the grid connections such that the TSO can compute the equivalent model. Alternatively the complete equivalent model shall be provided to the TSO.</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Distribution including closed distribution system operators shall provide the relevant information described in this Article for loads not modelled in detail which shall be modelled as aggregates.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For both loads modelled in detail and for aggregates of loads separated from generation the following data shall be provided: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connection point;</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maximum active power consumption;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power factor or reactive power;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 conforming flag where the value "true" means that the active and reactive power consumption of the load shall be scaled when scaling the overall load.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5. For loads modelled in detail the following data shall be provided: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a. characteristics of reactive power control if installed;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maximum and minimum active power available for demand response and the maximum and minimum duration of any potential usage of this power for demand response.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6. For loads modelled as aggregates the following data shall be provided: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aggregates of loads separated from generation in the corresponding parts of the grid referred to in Article 5 broken down by sub-stations of the equivalent model or the substations to which the corresponding parts of the grid are connected.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7. For loads modelled as aggregates and managed by an aggregator whose data are used in regional operational security analysis, the aggregator shall provide the following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aggregates of maximum and minimum active power available for demand response separated from generation and the maximum and minimum duration of any potential usage of this power for demand response managed by the aggregator in the corresponding parts of the grid broken down by sub-stations of the equivalent model or the sub-stations to which the corresponding parts of the grid are connected.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12</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Load -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Owners of loads modelled in detail or, in the case of loads modelled in detail on a composite basis, the owners of the individual loads, shall provide the following variable data for the loads referred to in Article 11 if applicable: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planned outages;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forecast of unrestricted active power available for demand response and any planned demand response.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HVDC links - structural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HVDC links shall be modelled regardless of whether these are located entirely within a single bidding zone or they connect two bidding zones. The TSO or TSOs concerned shall decide on the degree of detail with which the IIVDC link is to be modelled. They shall base their decision on the functions for which the HVDC link is to be used. By default an HVDC link shall be modelled in detail and the AC/DC part of the HVDC link shall be exchanged unless the functions that it is used for do not require this.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For both HVDC links modelled in detail and for those modelled in a simplified manner, the owner shall provide the following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a. connection points.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For HVDC links to be modelled in detail the owner shall provide a detailed model which shall include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electrical characteristics;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type and characteristics of supported control modes.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HVDC links modelled in a simplified manner shall be represented by equivalent injections at the connection points and the owner shall not have to provide additional structural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14</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HVDC links - infrequently changing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Owners of HVDC links modelled in detail shall provide the following infrequently changing variable data for the HVDC links referred to in Article 13:</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control settings including</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operating mode - inverter/rectifier;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control mode - voltage, active power, reactive power, power factor, current, or similar mode;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iii. voltage targets;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iv. regulated nodes.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15</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HVDC links - vari 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Owners of HVDC links modelled in detail shall provide the following variable data for the HVDC links referred to in Article 13 if applicable: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active power targets.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16</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Deadlines for providing the information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The default deadlines for providing the information by type of data item are as follows: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a. structural data: six months before the entry into operation or the implementation of a change in the relevant characteristics of the corresponding network element; the continued validity of the data provided needs to be confirmed every year by 01 April;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b. infrequently changing variable data and variable data:</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 changes expected during the following year need to be signalled to the TSO by 01 April of each year;</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ii. changes expected during the following month need to be signalled to the TSO by the 5th day of each month;</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When setting deadlines for the provision of the data, each TSO may set a deadline that is less constraining for data providers than the default deadline specified in paragraph 1. Where a TSO has set a deadline that is less constraining than the default deadline and later wishes to modify that deadline in a way that is more constraining, it shall ensure that the principles outlined in Regulation 2016/1719 in terms of stakeholder consultation are adhered to or in the alternative, ensure that sufficient consultation and approval processes take place to satisfy the requirements at a national level, provided that such alternative approach remains in compliance with the general principles of stakeholder consultation outlined in Regulation 2016/1719. Under no circumstances shall TSOs set deadlines that are more constraining for data providers than the default deadlines in order to obtain data under this methodology.</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17</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Quality monitoring</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Each TSO shall monitor the quality of the data provided to it as well as the timeliness of data delivery and overall compliance with the implementation rules.</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If a TSO identifies problems with respect to the quality of the data provided to it or the timeliness of data delivery or overall compliance with the implementation rules it shall in the first instance attempt to resolve these problems directly with the entity concerned.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18</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Timescale for implementation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1. Upon approval of die present methodology each TSO shall publish it on the internet in accordance with Article 4(13)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2. By one month after the approval of the present methodology, each TSO shall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 inform the entities required to provide data about the information they are required to provide as well as the deadlines for providing the information;</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lastRenderedPageBreak/>
              <w:t>b. forward the information set out in (a) to ENTSO-E;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c. prepare draft implementation rules on the practicalities of data provision specifying, for example, data formats and technical requirements with respect to the IT implementation of the data provision process in accordance with the procedures applicable under national law. Each TSO shall ensure that these implementation rules make use of existing infrastructure and data delivery processes to the extent possible and it shall allow sufficient time for implementation; where appropriate TSOs shall also provide clarification on definitions and other guidance as may be requit 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3. By two months after the approval of the present methodology, ENTSO-E shall publish the information referred to in Article 16(6) of Regulation 2015/1222 as referred to in Article 17 of Regulation 2016/1719.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4. By tw elve months after the approval of the present methodology' or 14 December 2017, whichever is later, each TSO shall ensure that the data provision process required in order to implement the methodology is operational; this entails that all necessary steps required by national legislation or regulations such as stakeholder consultation or NRA approval shall have been completed. At a minimum, implementation rules need to have been finalised and the data provision process needs to have been tested.</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Article 19</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Language</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r w:rsidRPr="007D2A63">
              <w:rPr>
                <w:rFonts w:ascii="Verdana" w:eastAsia="Times New Roman" w:hAnsi="Verdana" w:cs="Times New Roman"/>
                <w:color w:val="000000"/>
                <w:sz w:val="15"/>
                <w:szCs w:val="15"/>
              </w:rPr>
              <w:t>The reference language for this proposal shall be English. For the avoidance of doubt, where TSOs need to translate this proposal into their national language(s), in the event of inconsistencies between the English version published by TSOs in accordance with Article 4(13) of Regulation 2016/1719 and any version in another language the relevant TSOs shall, in accordance with national legislation, provide the relevant national regulatory authorities with an updated translation of the proposal.</w:t>
            </w:r>
          </w:p>
          <w:p w:rsidR="007D2A63" w:rsidRPr="007D2A63" w:rsidRDefault="007D2A63" w:rsidP="007D2A63">
            <w:pPr>
              <w:spacing w:before="100" w:beforeAutospacing="1" w:after="100" w:afterAutospacing="1" w:line="312" w:lineRule="atLeast"/>
              <w:rPr>
                <w:rFonts w:ascii="Verdana" w:eastAsia="Times New Roman" w:hAnsi="Verdana" w:cs="Times New Roman"/>
                <w:color w:val="000000"/>
                <w:sz w:val="15"/>
                <w:szCs w:val="15"/>
              </w:rPr>
            </w:pPr>
          </w:p>
        </w:tc>
      </w:tr>
      <w:tr w:rsidR="007D2A63" w:rsidRPr="007D2A63" w:rsidTr="007D2A63">
        <w:trPr>
          <w:tblCellSpacing w:w="0" w:type="dxa"/>
        </w:trPr>
        <w:tc>
          <w:tcPr>
            <w:tcW w:w="9000" w:type="dxa"/>
            <w:shd w:val="clear" w:color="auto" w:fill="A2C0DF"/>
            <w:vAlign w:val="center"/>
            <w:hideMark/>
          </w:tcPr>
          <w:p w:rsidR="007D2A63" w:rsidRPr="007D2A63" w:rsidRDefault="007D2A63" w:rsidP="007D2A63">
            <w:pPr>
              <w:spacing w:after="0" w:line="240" w:lineRule="auto"/>
              <w:rPr>
                <w:rFonts w:ascii="Verdana" w:eastAsia="Times New Roman" w:hAnsi="Verdana" w:cs="Times New Roman"/>
                <w:sz w:val="15"/>
                <w:szCs w:val="15"/>
              </w:rPr>
            </w:pPr>
          </w:p>
        </w:tc>
      </w:tr>
    </w:tbl>
    <w:p w:rsidR="00791C85" w:rsidRDefault="00791C85"/>
    <w:sectPr w:rsidR="00791C85" w:rsidSect="00791C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D2A63"/>
    <w:rsid w:val="00791C85"/>
    <w:rsid w:val="007D2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A63"/>
    <w:rPr>
      <w:color w:val="0000FF"/>
      <w:u w:val="single"/>
    </w:rPr>
  </w:style>
  <w:style w:type="paragraph" w:styleId="NormalWeb">
    <w:name w:val="Normal (Web)"/>
    <w:basedOn w:val="Normal"/>
    <w:uiPriority w:val="99"/>
    <w:unhideWhenUsed/>
    <w:rsid w:val="007D2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7D2A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053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C37BE-3D2D-4D43-9676-65253A836FF4}"/>
</file>

<file path=customXml/itemProps2.xml><?xml version="1.0" encoding="utf-8"?>
<ds:datastoreItem xmlns:ds="http://schemas.openxmlformats.org/officeDocument/2006/customXml" ds:itemID="{71E70B85-4106-4970-8D07-179F132483DB}"/>
</file>

<file path=customXml/itemProps3.xml><?xml version="1.0" encoding="utf-8"?>
<ds:datastoreItem xmlns:ds="http://schemas.openxmlformats.org/officeDocument/2006/customXml" ds:itemID="{964CE4A1-C5E6-410D-8F94-B38F93B42D11}"/>
</file>

<file path=docProps/app.xml><?xml version="1.0" encoding="utf-8"?>
<Properties xmlns="http://schemas.openxmlformats.org/officeDocument/2006/extended-properties" xmlns:vt="http://schemas.openxmlformats.org/officeDocument/2006/docPropsVTypes">
  <Template>Normal</Template>
  <TotalTime>0</TotalTime>
  <Pages>36</Pages>
  <Words>12542</Words>
  <Characters>71496</Characters>
  <Application>Microsoft Office Word</Application>
  <DocSecurity>0</DocSecurity>
  <Lines>595</Lines>
  <Paragraphs>167</Paragraphs>
  <ScaleCrop>false</ScaleCrop>
  <Company/>
  <LinksUpToDate>false</LinksUpToDate>
  <CharactersWithSpaces>83871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2019-02-27T13:19:00Z</dcterms:created>
  <dcterms:modified xsi:type="dcterms:W3CDTF">2019-02-27T13:19:00Z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